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73FA" w14:textId="5BD37996" w:rsidR="00BE5470" w:rsidRPr="00BE5470" w:rsidRDefault="00BE5470" w:rsidP="00BE5470">
      <w:pPr>
        <w:pStyle w:val="Ttulo1"/>
        <w:numPr>
          <w:ilvl w:val="0"/>
          <w:numId w:val="0"/>
        </w:numPr>
        <w:spacing w:before="0" w:after="240" w:line="276" w:lineRule="auto"/>
        <w:ind w:left="709" w:hanging="709"/>
        <w:jc w:val="center"/>
        <w:rPr>
          <w:rFonts w:ascii="Helvetica" w:hAnsi="Helvetica"/>
          <w:b/>
          <w:color w:val="E31A13"/>
          <w:sz w:val="40"/>
          <w:szCs w:val="40"/>
        </w:rPr>
      </w:pPr>
      <w:r>
        <w:rPr>
          <w:rFonts w:ascii="Helvetica" w:hAnsi="Helvetica"/>
          <w:b/>
          <w:color w:val="E31A13"/>
          <w:sz w:val="40"/>
        </w:rPr>
        <w:t xml:space="preserve">Modelo de </w:t>
      </w:r>
      <w:r w:rsidR="00CA5A76">
        <w:rPr>
          <w:rFonts w:ascii="Helvetica" w:hAnsi="Helvetica"/>
          <w:b/>
          <w:color w:val="E31A13"/>
          <w:sz w:val="40"/>
        </w:rPr>
        <w:t>I</w:t>
      </w:r>
      <w:r>
        <w:rPr>
          <w:rFonts w:ascii="Helvetica" w:hAnsi="Helvetica"/>
          <w:b/>
          <w:color w:val="E31A13"/>
          <w:sz w:val="40"/>
        </w:rPr>
        <w:t>nforme HES</w:t>
      </w:r>
    </w:p>
    <w:tbl>
      <w:tblPr>
        <w:tblW w:w="1005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2323"/>
        <w:gridCol w:w="5877"/>
        <w:gridCol w:w="1261"/>
      </w:tblGrid>
      <w:tr w:rsidR="001B3D78" w:rsidRPr="00BE5470" w14:paraId="178CDE4B" w14:textId="77777777" w:rsidTr="00EB720E">
        <w:trPr>
          <w:tblHeader/>
        </w:trPr>
        <w:tc>
          <w:tcPr>
            <w:tcW w:w="60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6A2D5BE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6FEEB6A2" w14:textId="77777777" w:rsidR="00651E0B" w:rsidRPr="007E3D92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C00000"/>
                <w:sz w:val="20"/>
              </w:rPr>
              <w:t>Sección</w:t>
            </w:r>
          </w:p>
        </w:tc>
        <w:tc>
          <w:tcPr>
            <w:tcW w:w="6043" w:type="dxa"/>
            <w:shd w:val="clear" w:color="auto" w:fill="FFFFFF" w:themeFill="background1"/>
            <w:vAlign w:val="center"/>
            <w:hideMark/>
          </w:tcPr>
          <w:p w14:paraId="33E1522C" w14:textId="77777777" w:rsidR="00651E0B" w:rsidRPr="007E3D92" w:rsidRDefault="00651E0B" w:rsidP="001E3CBC">
            <w:pPr>
              <w:spacing w:beforeLines="60" w:before="144" w:afterLines="60" w:after="144" w:line="240" w:lineRule="auto"/>
              <w:ind w:left="283"/>
              <w:rPr>
                <w:rFonts w:ascii="Helvetica" w:eastAsia="Calibri" w:hAnsi="Helvetica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C00000"/>
                <w:sz w:val="20"/>
              </w:rPr>
              <w:t>Contenido principal</w:t>
            </w: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661A3C6C" w14:textId="77777777" w:rsidR="00651E0B" w:rsidRPr="007E3D92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C00000"/>
                <w:sz w:val="20"/>
              </w:rPr>
              <w:t>Longitud (páginas)</w:t>
            </w:r>
          </w:p>
        </w:tc>
      </w:tr>
      <w:tr w:rsidR="00BE5470" w:rsidRPr="00BE5470" w14:paraId="5F8A9A19" w14:textId="77777777" w:rsidTr="00EB720E">
        <w:tc>
          <w:tcPr>
            <w:tcW w:w="600" w:type="dxa"/>
            <w:vAlign w:val="center"/>
            <w:hideMark/>
          </w:tcPr>
          <w:p w14:paraId="12389BAC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1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20B8C058" w14:textId="67F0DC5F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Resumen ejecutivo</w:t>
            </w:r>
          </w:p>
        </w:tc>
        <w:tc>
          <w:tcPr>
            <w:tcW w:w="6043" w:type="dxa"/>
            <w:vAlign w:val="center"/>
            <w:hideMark/>
          </w:tcPr>
          <w:p w14:paraId="553879A4" w14:textId="0484D5DB" w:rsidR="006A2D90" w:rsidRPr="006A2D90" w:rsidRDefault="002D3F1E" w:rsidP="006A2D90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El resumen ejecutivo debe poder leerse como</w:t>
            </w:r>
            <w:r w:rsidR="006A2D90">
              <w:rPr>
                <w:rFonts w:ascii="Helvetica" w:hAnsi="Helvetica"/>
                <w:sz w:val="20"/>
              </w:rPr>
              <w:t xml:space="preserve"> informe independiente para quienes no va</w:t>
            </w:r>
            <w:r>
              <w:rPr>
                <w:rFonts w:ascii="Helvetica" w:hAnsi="Helvetica"/>
                <w:sz w:val="20"/>
              </w:rPr>
              <w:t>yan</w:t>
            </w:r>
            <w:r w:rsidR="006A2D90">
              <w:rPr>
                <w:rFonts w:ascii="Helvetica" w:hAnsi="Helvetica"/>
                <w:sz w:val="20"/>
              </w:rPr>
              <w:t xml:space="preserve"> a leer </w:t>
            </w:r>
            <w:r>
              <w:rPr>
                <w:rFonts w:ascii="Helvetica" w:hAnsi="Helvetica"/>
                <w:sz w:val="20"/>
              </w:rPr>
              <w:t xml:space="preserve">el informe </w:t>
            </w:r>
            <w:r w:rsidR="006A2D90">
              <w:rPr>
                <w:rFonts w:ascii="Helvetica" w:hAnsi="Helvetica"/>
                <w:sz w:val="20"/>
              </w:rPr>
              <w:t>completo.</w:t>
            </w:r>
          </w:p>
          <w:p w14:paraId="27306299" w14:textId="729F68DC" w:rsidR="00651E0B" w:rsidRPr="00BE5470" w:rsidRDefault="006A2D90" w:rsidP="006A2D90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Incluir los hallazgos y recomendaciones principales.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06435117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2 - 3</w:t>
            </w:r>
          </w:p>
        </w:tc>
      </w:tr>
      <w:tr w:rsidR="00BE5470" w:rsidRPr="00BE5470" w14:paraId="0E25F8CC" w14:textId="77777777" w:rsidTr="00EB720E">
        <w:tc>
          <w:tcPr>
            <w:tcW w:w="600" w:type="dxa"/>
            <w:vAlign w:val="center"/>
            <w:hideMark/>
          </w:tcPr>
          <w:p w14:paraId="63469A81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2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14:paraId="3811E56E" w14:textId="7E927FE4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Introducción a la evaluación</w:t>
            </w:r>
          </w:p>
        </w:tc>
        <w:tc>
          <w:tcPr>
            <w:tcW w:w="6043" w:type="dxa"/>
            <w:vAlign w:val="center"/>
            <w:hideMark/>
          </w:tcPr>
          <w:p w14:paraId="42B1D629" w14:textId="77777777" w:rsidR="00312E82" w:rsidRPr="00312E82" w:rsidRDefault="00312E82" w:rsidP="00312E82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Objetivos de la evaluación, cuestiones esenciales relacionadas con el contexto de la evaluación: desarrollo o emergencia. </w:t>
            </w:r>
          </w:p>
          <w:p w14:paraId="3B71B338" w14:textId="77777777" w:rsidR="00312E82" w:rsidRPr="00312E82" w:rsidRDefault="00312E82" w:rsidP="00312E82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Metodología, calendario, equipo de evaluación, grupos de población evaluados y su ubicación.</w:t>
            </w:r>
          </w:p>
          <w:p w14:paraId="13F53A65" w14:textId="77777777" w:rsidR="00312E82" w:rsidRPr="00312E82" w:rsidRDefault="00312E82" w:rsidP="00312E82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Supuestos, limitaciones.</w:t>
            </w:r>
          </w:p>
          <w:p w14:paraId="6C0E796B" w14:textId="41CE005F" w:rsidR="00651E0B" w:rsidRPr="00BE5470" w:rsidRDefault="00312E82" w:rsidP="00312E82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Período de evaluación (período normal y período de interés).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0254E6C6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1 - 2</w:t>
            </w:r>
          </w:p>
        </w:tc>
      </w:tr>
      <w:tr w:rsidR="00BE5470" w:rsidRPr="00BE5470" w14:paraId="7740A786" w14:textId="77777777" w:rsidTr="00EB720E">
        <w:tc>
          <w:tcPr>
            <w:tcW w:w="600" w:type="dxa"/>
            <w:vAlign w:val="center"/>
            <w:hideMark/>
          </w:tcPr>
          <w:p w14:paraId="61C66CCC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3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1448B1EB" w14:textId="39534ACD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Análisis del contexto opera</w:t>
            </w:r>
            <w:r w:rsidR="00CA5A76">
              <w:rPr>
                <w:rFonts w:ascii="Helvetica" w:hAnsi="Helvetica"/>
                <w:b/>
                <w:sz w:val="20"/>
              </w:rPr>
              <w:t>cional</w:t>
            </w:r>
          </w:p>
        </w:tc>
        <w:tc>
          <w:tcPr>
            <w:tcW w:w="6043" w:type="dxa"/>
            <w:vAlign w:val="center"/>
            <w:hideMark/>
          </w:tcPr>
          <w:p w14:paraId="332C712E" w14:textId="77777777" w:rsidR="00312E82" w:rsidRPr="00312E82" w:rsidRDefault="00312E82" w:rsidP="00312E82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Información económica, política, social y demográfica de la zona. </w:t>
            </w:r>
          </w:p>
          <w:p w14:paraId="4AFEC8B4" w14:textId="77777777" w:rsidR="00312E82" w:rsidRPr="00312E82" w:rsidRDefault="00312E82" w:rsidP="00312E82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Historia del contexto de vulnerabilidad, desastres y tendencias.</w:t>
            </w:r>
          </w:p>
          <w:p w14:paraId="06BD0651" w14:textId="2B6676CF" w:rsidR="00651E0B" w:rsidRPr="00BE5470" w:rsidRDefault="00312E82" w:rsidP="00312E82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Contexto humanitario, incluida la presencia de la Cruz Roja y de la Media Luna Roja en la zona y la labor en materia de desarrollo, reducción del riesgo de desastres y resiliencia.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1CA8152A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2 - 3</w:t>
            </w:r>
          </w:p>
        </w:tc>
      </w:tr>
      <w:tr w:rsidR="00BE5470" w:rsidRPr="00BE5470" w14:paraId="7DDA2999" w14:textId="77777777" w:rsidTr="00EB720E">
        <w:tc>
          <w:tcPr>
            <w:tcW w:w="600" w:type="dxa"/>
            <w:vAlign w:val="center"/>
          </w:tcPr>
          <w:p w14:paraId="0667B386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4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535EC843" w14:textId="1644F5A3" w:rsidR="00651E0B" w:rsidRPr="00BE5470" w:rsidRDefault="009E5153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Medios de vida, mercado laboral, sistemas de producción de alimentos</w:t>
            </w:r>
            <w:r w:rsidR="00CA5A76">
              <w:rPr>
                <w:rFonts w:ascii="Helvetica" w:hAnsi="Helvetica"/>
                <w:b/>
                <w:sz w:val="20"/>
              </w:rPr>
              <w:t>,</w:t>
            </w:r>
            <w:r>
              <w:rPr>
                <w:rFonts w:ascii="Helvetica" w:hAnsi="Helvetica"/>
                <w:b/>
                <w:sz w:val="20"/>
              </w:rPr>
              <w:t xml:space="preserve"> y estacionalidad</w:t>
            </w:r>
          </w:p>
        </w:tc>
        <w:tc>
          <w:tcPr>
            <w:tcW w:w="6043" w:type="dxa"/>
            <w:vAlign w:val="center"/>
            <w:hideMark/>
          </w:tcPr>
          <w:p w14:paraId="5B15E287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Zonas de medios de vida.</w:t>
            </w:r>
          </w:p>
          <w:p w14:paraId="71A0468E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Principales sistemas de los mercados laborales. </w:t>
            </w:r>
          </w:p>
          <w:p w14:paraId="2CBFBCE8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Principales sistemas de producción de alimentos y estacionalidad.</w:t>
            </w:r>
          </w:p>
          <w:p w14:paraId="52BEEBEB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Grupos de medios de vida y principales actividades estacionales para cada grupo.</w:t>
            </w:r>
          </w:p>
          <w:p w14:paraId="016D75D5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Descripción e indicadores de los grupos socioeconómicos. </w:t>
            </w:r>
          </w:p>
          <w:p w14:paraId="5F4E2F97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Fuentes de alimentos para cada grupo socioeconómico. </w:t>
            </w:r>
          </w:p>
          <w:p w14:paraId="55848B12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Fuentes de ingresos de los hogares para cada grupo socioeconómico.</w:t>
            </w:r>
          </w:p>
          <w:p w14:paraId="58D82753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Cambios en las fuentes de alimentos e ingresos y estacionalidad.</w:t>
            </w:r>
          </w:p>
          <w:p w14:paraId="423F9A0D" w14:textId="776989AB" w:rsidR="00651E0B" w:rsidRPr="00BE5470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Principales sistemas de los mercados de alimentos, disponibilidad y acceso a los alimentos en el tiempo y el espacio.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1D05AD68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3 - 4</w:t>
            </w:r>
          </w:p>
        </w:tc>
      </w:tr>
      <w:tr w:rsidR="00BE5470" w:rsidRPr="00BE5470" w14:paraId="107AF062" w14:textId="77777777" w:rsidTr="00EB720E">
        <w:tc>
          <w:tcPr>
            <w:tcW w:w="600" w:type="dxa"/>
            <w:vAlign w:val="center"/>
          </w:tcPr>
          <w:p w14:paraId="357AC2FA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5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14:paraId="4196B5FB" w14:textId="07D2224B" w:rsidR="005972A0" w:rsidRPr="005972A0" w:rsidRDefault="005E0A19" w:rsidP="00AA3741">
            <w:pPr>
              <w:spacing w:beforeLines="60" w:before="144" w:afterLines="60" w:after="144" w:line="276" w:lineRule="auto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Patrones de consumo de los hogares, </w:t>
            </w:r>
            <w:r>
              <w:rPr>
                <w:rFonts w:ascii="Helvetica" w:hAnsi="Helvetica"/>
                <w:b/>
                <w:sz w:val="20"/>
              </w:rPr>
              <w:lastRenderedPageBreak/>
              <w:t xml:space="preserve">necesidades prioritarias y evolución de los precios al </w:t>
            </w:r>
            <w:r w:rsidR="005972A0" w:rsidRPr="005972A0">
              <w:rPr>
                <w:rFonts w:ascii="Helvetica" w:hAnsi="Helvetica"/>
                <w:b/>
                <w:sz w:val="20"/>
              </w:rPr>
              <w:t>consumo de los artículos clave para el hogar y para los medios de vida.</w:t>
            </w:r>
          </w:p>
        </w:tc>
        <w:tc>
          <w:tcPr>
            <w:tcW w:w="6043" w:type="dxa"/>
            <w:vAlign w:val="center"/>
          </w:tcPr>
          <w:p w14:paraId="6B678B60" w14:textId="77777777" w:rsidR="00AA3741" w:rsidRPr="00AA3741" w:rsidRDefault="00AA3741" w:rsidP="00AA3741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lastRenderedPageBreak/>
              <w:t>Gastos de los hogares en diferentes estaciones.</w:t>
            </w:r>
          </w:p>
          <w:p w14:paraId="7E5AE213" w14:textId="77777777" w:rsidR="00AA3741" w:rsidRPr="00AA3741" w:rsidRDefault="00AA3741" w:rsidP="00AA3741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lastRenderedPageBreak/>
              <w:t xml:space="preserve">Patrones de consumo de los hogares, necesidades prioritarias y tendencias estacionales. </w:t>
            </w:r>
          </w:p>
          <w:p w14:paraId="7F9FEB02" w14:textId="77777777" w:rsidR="00AA3741" w:rsidRPr="00AA3741" w:rsidRDefault="00AA3741" w:rsidP="00AA3741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Activos de medios de vida necesarios y precio. </w:t>
            </w:r>
          </w:p>
          <w:p w14:paraId="3507B286" w14:textId="77777777" w:rsidR="00AA3741" w:rsidRPr="00AA3741" w:rsidRDefault="00AA3741" w:rsidP="00AA3741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Evolución de los precios de los principales productos alimentarios y no alimentarios y de los servicios para los hogares a lo largo de un año, en épocas de normalidad, entre estaciones (y después del desastre, si procede).</w:t>
            </w:r>
          </w:p>
          <w:p w14:paraId="5BA3F81E" w14:textId="75F66349" w:rsidR="00651E0B" w:rsidRPr="00BE5470" w:rsidRDefault="00AA3741" w:rsidP="00AA3741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Poder adquisitivo/ capacidad de compra.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C728591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lastRenderedPageBreak/>
              <w:t>2 - 3</w:t>
            </w:r>
          </w:p>
        </w:tc>
      </w:tr>
      <w:tr w:rsidR="00BE5470" w:rsidRPr="00BE5470" w14:paraId="107EA521" w14:textId="77777777" w:rsidTr="00EB720E">
        <w:tc>
          <w:tcPr>
            <w:tcW w:w="600" w:type="dxa"/>
            <w:vAlign w:val="center"/>
          </w:tcPr>
          <w:p w14:paraId="576497DF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6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49232FA9" w14:textId="77777777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Principales sistemas de los mercados alimentarios y de servicios financieros, su funcionalidad y riesgos.</w:t>
            </w:r>
          </w:p>
        </w:tc>
        <w:tc>
          <w:tcPr>
            <w:tcW w:w="6043" w:type="dxa"/>
            <w:vAlign w:val="center"/>
            <w:hideMark/>
          </w:tcPr>
          <w:p w14:paraId="296B3F3B" w14:textId="77777777" w:rsidR="00312F70" w:rsidRPr="00312F70" w:rsidRDefault="00312F70" w:rsidP="00312F70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Sistemas críticos del mercado de alimentos, disponibilidad y acceso. </w:t>
            </w:r>
          </w:p>
          <w:p w14:paraId="1265757B" w14:textId="77777777" w:rsidR="00312F70" w:rsidRPr="00312F70" w:rsidRDefault="00312F70" w:rsidP="00312F70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Estructura de los mercados de alimentos, comportamiento y tendencias estacionales.</w:t>
            </w:r>
          </w:p>
          <w:p w14:paraId="5958A841" w14:textId="77777777" w:rsidR="00312F70" w:rsidRPr="00312F70" w:rsidRDefault="00312F70" w:rsidP="00312F70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Sistemas críticos del mercado de proveedores de servicios financieros, estructura, comportamiento y tendencias estacionales.</w:t>
            </w:r>
          </w:p>
          <w:p w14:paraId="46A38888" w14:textId="393BA4C6" w:rsidR="00651E0B" w:rsidRPr="00BE5470" w:rsidRDefault="00312F70" w:rsidP="00312F70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Riesgos para la oferta y la demanda relacionados con el funcionamiento del mercado.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AB9AF16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2 - 3</w:t>
            </w:r>
          </w:p>
        </w:tc>
      </w:tr>
      <w:tr w:rsidR="00BE5470" w:rsidRPr="00BE5470" w14:paraId="586FBEB1" w14:textId="77777777" w:rsidTr="00EB720E">
        <w:trPr>
          <w:trHeight w:val="973"/>
        </w:trPr>
        <w:tc>
          <w:tcPr>
            <w:tcW w:w="600" w:type="dxa"/>
            <w:vAlign w:val="center"/>
          </w:tcPr>
          <w:p w14:paraId="65919710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7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1D5D23DF" w14:textId="77777777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Estrategias de supervivencia y redes de protección social.</w:t>
            </w:r>
          </w:p>
        </w:tc>
        <w:tc>
          <w:tcPr>
            <w:tcW w:w="6043" w:type="dxa"/>
            <w:vAlign w:val="center"/>
            <w:hideMark/>
          </w:tcPr>
          <w:p w14:paraId="0B25CF78" w14:textId="77777777" w:rsidR="00A86076" w:rsidRPr="00A86076" w:rsidRDefault="00A86076" w:rsidP="00A86076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Estrategias de supervivencia, su gravedad y tendencias estacionales por grupo socioeconómico.</w:t>
            </w:r>
          </w:p>
          <w:p w14:paraId="4494E644" w14:textId="77777777" w:rsidR="00A86076" w:rsidRPr="00A86076" w:rsidRDefault="00A86076" w:rsidP="00A86076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Gravedad que suponen las compras a crédito o la acumulación de deuda para la seguridad económica de los hogares.</w:t>
            </w:r>
          </w:p>
          <w:p w14:paraId="1F5296F9" w14:textId="7D2D7C6F" w:rsidR="00A86076" w:rsidRPr="00A86076" w:rsidRDefault="00A86076" w:rsidP="00A86076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Planes de protección social gubernamentales vigentes. </w:t>
            </w:r>
          </w:p>
          <w:p w14:paraId="3E7680E2" w14:textId="77777777" w:rsidR="00A86076" w:rsidRPr="00A86076" w:rsidRDefault="00A86076" w:rsidP="00A86076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Otros programas de asistencia social. </w:t>
            </w:r>
          </w:p>
          <w:p w14:paraId="633B414E" w14:textId="77777777" w:rsidR="00A86076" w:rsidRPr="00A86076" w:rsidRDefault="00A86076" w:rsidP="00A86076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Mecanismos de coordinación. </w:t>
            </w:r>
          </w:p>
          <w:p w14:paraId="3F4DA58E" w14:textId="73453A0E" w:rsidR="00651E0B" w:rsidRPr="0076533C" w:rsidRDefault="00A86076" w:rsidP="00A86076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Papel y experiencia de la CRMLR.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0D4FBA6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2 - 3</w:t>
            </w:r>
          </w:p>
          <w:p w14:paraId="25C6D896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</w:p>
        </w:tc>
      </w:tr>
      <w:tr w:rsidR="001E3CBC" w:rsidRPr="00BE5470" w14:paraId="5A3E9ED4" w14:textId="77777777" w:rsidTr="00EB720E">
        <w:tc>
          <w:tcPr>
            <w:tcW w:w="600" w:type="dxa"/>
            <w:vAlign w:val="center"/>
            <w:hideMark/>
          </w:tcPr>
          <w:p w14:paraId="51F38216" w14:textId="77777777" w:rsidR="001E3CBC" w:rsidRPr="001B3D78" w:rsidRDefault="001E3CBC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8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75CC9C5B" w14:textId="7898F9E2" w:rsidR="001E3CBC" w:rsidRPr="00BE5470" w:rsidRDefault="001E3CBC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Conclusiones generales del análisis</w:t>
            </w:r>
          </w:p>
        </w:tc>
        <w:tc>
          <w:tcPr>
            <w:tcW w:w="6043" w:type="dxa"/>
            <w:vAlign w:val="center"/>
            <w:hideMark/>
          </w:tcPr>
          <w:p w14:paraId="18E33554" w14:textId="77777777" w:rsidR="00A86076" w:rsidRPr="00A86076" w:rsidRDefault="00A86076" w:rsidP="00A86076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 Light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Umbrales y brechas para la seguridad económica de los hogares. </w:t>
            </w:r>
          </w:p>
          <w:p w14:paraId="5F819A93" w14:textId="77777777" w:rsidR="00A86076" w:rsidRPr="00A86076" w:rsidRDefault="00A86076" w:rsidP="00A86076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 Light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Descripción de la gravedad y la escala de las necesidades, tendencias, prioridades de la población y probable evolución a lo largo del tiempo.</w:t>
            </w:r>
          </w:p>
          <w:p w14:paraId="0A13E90D" w14:textId="77777777" w:rsidR="00A86076" w:rsidRPr="00A86076" w:rsidRDefault="00A86076" w:rsidP="00A86076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 Light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Seguridad alimentaria, situación de las necesidades básicas y necesidades de asistencia. </w:t>
            </w:r>
          </w:p>
          <w:p w14:paraId="232439E4" w14:textId="77777777" w:rsidR="00A86076" w:rsidRPr="00A86076" w:rsidRDefault="00A86076" w:rsidP="00A86076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Situación de los medios de vida y necesidades de asistencia.</w:t>
            </w:r>
          </w:p>
          <w:p w14:paraId="3ACC0B2D" w14:textId="6EB7FAFA" w:rsidR="001E3CBC" w:rsidRPr="00BE5470" w:rsidRDefault="00A86076" w:rsidP="00A86076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Planificación de escenarios, cambios estacionales, riesgos adicionales continuados o futuros.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0D5843B" w14:textId="77777777" w:rsidR="001E3CBC" w:rsidRPr="00BE5470" w:rsidRDefault="001E3CBC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3 - 4</w:t>
            </w:r>
          </w:p>
        </w:tc>
      </w:tr>
      <w:tr w:rsidR="00BE5470" w:rsidRPr="00BE5470" w14:paraId="4E50E309" w14:textId="77777777" w:rsidTr="00EB720E">
        <w:tc>
          <w:tcPr>
            <w:tcW w:w="600" w:type="dxa"/>
            <w:vAlign w:val="center"/>
            <w:hideMark/>
          </w:tcPr>
          <w:p w14:paraId="2F600B3A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9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129B6C3E" w14:textId="339BE44F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Análisis de la respuesta de los diversos actores</w:t>
            </w:r>
          </w:p>
        </w:tc>
        <w:tc>
          <w:tcPr>
            <w:tcW w:w="6043" w:type="dxa"/>
            <w:vAlign w:val="center"/>
            <w:hideMark/>
          </w:tcPr>
          <w:p w14:paraId="7A11DFF5" w14:textId="77777777" w:rsidR="001E3CBC" w:rsidRPr="001E3CBC" w:rsidRDefault="001E3CBC" w:rsidP="001E3CBC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 Light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Capacidad y prioridades actuales de la CRMLR, incluidos los recursos disponibles.</w:t>
            </w:r>
          </w:p>
          <w:p w14:paraId="1AC9BB7C" w14:textId="77777777" w:rsidR="001E3CBC" w:rsidRPr="001E3CBC" w:rsidRDefault="001E3CBC" w:rsidP="001E3CBC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 Light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 xml:space="preserve">Apoyo de los demás actores. </w:t>
            </w:r>
          </w:p>
          <w:p w14:paraId="482A49CE" w14:textId="77777777" w:rsidR="001E3CBC" w:rsidRPr="001E3CBC" w:rsidRDefault="001E3CBC" w:rsidP="001E3CBC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 Light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lastRenderedPageBreak/>
              <w:t>Respuestas, actuales y previstas, del gobierno, otras agencias y sus capacidades (poner</w:t>
            </w:r>
            <w:bookmarkStart w:id="0" w:name="_GoBack"/>
            <w:bookmarkEnd w:id="0"/>
            <w:r>
              <w:rPr>
                <w:rFonts w:ascii="Helvetica" w:hAnsi="Helvetica"/>
                <w:sz w:val="20"/>
              </w:rPr>
              <w:t xml:space="preserve"> en forma de tabla).</w:t>
            </w:r>
          </w:p>
          <w:p w14:paraId="2EA25EAC" w14:textId="195E41CC" w:rsidR="00651E0B" w:rsidRPr="001E3CBC" w:rsidRDefault="001E3CBC" w:rsidP="001E3CBC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La respuesta actual y prevista de las distintas organizaciones, ¿basta para satisfacer las necesidades básicas y para apoyar los medios de vida (incluida la vivienda)? Si no es así, ¿cuáles son las brechas?</w:t>
            </w: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2616A8A7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lastRenderedPageBreak/>
              <w:t>1 - 2</w:t>
            </w:r>
          </w:p>
        </w:tc>
      </w:tr>
      <w:tr w:rsidR="00BE5470" w:rsidRPr="00BE5470" w14:paraId="2E359930" w14:textId="77777777" w:rsidTr="00EB720E">
        <w:tc>
          <w:tcPr>
            <w:tcW w:w="600" w:type="dxa"/>
            <w:vAlign w:val="center"/>
            <w:hideMark/>
          </w:tcPr>
          <w:p w14:paraId="1022BE58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10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1FECE2EE" w14:textId="77777777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Anexos</w:t>
            </w:r>
          </w:p>
        </w:tc>
        <w:tc>
          <w:tcPr>
            <w:tcW w:w="6043" w:type="dxa"/>
            <w:vAlign w:val="center"/>
          </w:tcPr>
          <w:p w14:paraId="5DCA7756" w14:textId="77777777" w:rsidR="00651E0B" w:rsidRPr="00BE5470" w:rsidRDefault="00651E0B" w:rsidP="001E3CBC">
            <w:pPr>
              <w:spacing w:beforeLines="60" w:before="144" w:afterLines="60" w:after="144" w:line="240" w:lineRule="auto"/>
              <w:ind w:left="317"/>
              <w:rPr>
                <w:rFonts w:ascii="Helvetica" w:eastAsia="Calibri" w:hAnsi="Helvetica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3B5104E5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Los necesarios</w:t>
            </w:r>
          </w:p>
        </w:tc>
      </w:tr>
    </w:tbl>
    <w:p w14:paraId="594291AA" w14:textId="77777777" w:rsidR="00DB2CB9" w:rsidRPr="00BE5470" w:rsidRDefault="00DB2CB9">
      <w:pPr>
        <w:rPr>
          <w:rFonts w:ascii="Helvetica" w:hAnsi="Helvetica"/>
        </w:rPr>
      </w:pPr>
    </w:p>
    <w:sectPr w:rsidR="00DB2CB9" w:rsidRPr="00BE5470" w:rsidSect="0055707F">
      <w:headerReference w:type="default" r:id="rId10"/>
      <w:pgSz w:w="11906" w:h="16838"/>
      <w:pgMar w:top="1440" w:right="1440" w:bottom="12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DF030" w14:textId="77777777" w:rsidR="0054343F" w:rsidRDefault="0054343F" w:rsidP="00BE5470">
      <w:pPr>
        <w:spacing w:after="0" w:line="240" w:lineRule="auto"/>
      </w:pPr>
      <w:r>
        <w:separator/>
      </w:r>
    </w:p>
  </w:endnote>
  <w:endnote w:type="continuationSeparator" w:id="0">
    <w:p w14:paraId="188DA55B" w14:textId="77777777" w:rsidR="0054343F" w:rsidRDefault="0054343F" w:rsidP="00BE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6297" w14:textId="77777777" w:rsidR="0054343F" w:rsidRDefault="0054343F" w:rsidP="00BE5470">
      <w:pPr>
        <w:spacing w:after="0" w:line="240" w:lineRule="auto"/>
      </w:pPr>
      <w:r>
        <w:separator/>
      </w:r>
    </w:p>
  </w:footnote>
  <w:footnote w:type="continuationSeparator" w:id="0">
    <w:p w14:paraId="365EF941" w14:textId="77777777" w:rsidR="0054343F" w:rsidRDefault="0054343F" w:rsidP="00BE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9914" w14:textId="77777777" w:rsidR="00BE5470" w:rsidRPr="00201371" w:rsidRDefault="00BE5470" w:rsidP="00BE5470">
    <w:pPr>
      <w:jc w:val="center"/>
      <w:rPr>
        <w:rFonts w:ascii="HELVETICA BOLD OBLIQUE" w:eastAsia="MS Gothic" w:hAnsi="HELVETICA BOLD OBLIQUE" w:cs="Times New Roman"/>
        <w:b/>
        <w:bCs/>
        <w:i/>
        <w:iCs/>
        <w:color w:val="E31A13"/>
      </w:rPr>
    </w:pPr>
    <w:r>
      <w:rPr>
        <w:rFonts w:ascii="HELVETICA BOLD OBLIQUE" w:hAnsi="HELVETICA BOLD OBLIQUE"/>
        <w:b/>
        <w:i/>
        <w:color w:val="E31A13"/>
      </w:rPr>
      <w:t>Modelo</w:t>
    </w:r>
  </w:p>
  <w:p w14:paraId="49C12598" w14:textId="77777777" w:rsidR="00BE5470" w:rsidRDefault="00BE54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76D0"/>
    <w:multiLevelType w:val="hybridMultilevel"/>
    <w:tmpl w:val="BC36D2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B459F"/>
    <w:multiLevelType w:val="hybridMultilevel"/>
    <w:tmpl w:val="5982421E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806D4"/>
    <w:multiLevelType w:val="hybridMultilevel"/>
    <w:tmpl w:val="57027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B207C"/>
    <w:multiLevelType w:val="hybridMultilevel"/>
    <w:tmpl w:val="D17890E8"/>
    <w:lvl w:ilvl="0" w:tplc="E2744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1992"/>
    <w:multiLevelType w:val="hybridMultilevel"/>
    <w:tmpl w:val="3C96B43E"/>
    <w:lvl w:ilvl="0" w:tplc="E2744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71DE1"/>
    <w:multiLevelType w:val="hybridMultilevel"/>
    <w:tmpl w:val="D9984C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50080"/>
    <w:multiLevelType w:val="hybridMultilevel"/>
    <w:tmpl w:val="DF8C7B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79D4ECB"/>
    <w:multiLevelType w:val="hybridMultilevel"/>
    <w:tmpl w:val="86EC7A4E"/>
    <w:lvl w:ilvl="0" w:tplc="4C8E3416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D72F4"/>
    <w:multiLevelType w:val="hybridMultilevel"/>
    <w:tmpl w:val="7708EC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A6D45"/>
    <w:multiLevelType w:val="multilevel"/>
    <w:tmpl w:val="8402C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B9"/>
    <w:rsid w:val="001A0DC3"/>
    <w:rsid w:val="001B3D78"/>
    <w:rsid w:val="001E3CBC"/>
    <w:rsid w:val="00264E39"/>
    <w:rsid w:val="002D3F1E"/>
    <w:rsid w:val="00312E82"/>
    <w:rsid w:val="00312F70"/>
    <w:rsid w:val="0054343F"/>
    <w:rsid w:val="0055707F"/>
    <w:rsid w:val="005972A0"/>
    <w:rsid w:val="005E0A19"/>
    <w:rsid w:val="00651E0B"/>
    <w:rsid w:val="006A2D90"/>
    <w:rsid w:val="006C09F2"/>
    <w:rsid w:val="0076533C"/>
    <w:rsid w:val="007E3D92"/>
    <w:rsid w:val="009E5153"/>
    <w:rsid w:val="00A86076"/>
    <w:rsid w:val="00AA3741"/>
    <w:rsid w:val="00B37A6F"/>
    <w:rsid w:val="00B76229"/>
    <w:rsid w:val="00BE5470"/>
    <w:rsid w:val="00CA5A76"/>
    <w:rsid w:val="00DB2CB9"/>
    <w:rsid w:val="00E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26F2"/>
  <w15:chartTrackingRefBased/>
  <w15:docId w15:val="{51470544-5B83-404F-B95F-5403611C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5470"/>
    <w:pPr>
      <w:keepNext/>
      <w:keepLines/>
      <w:numPr>
        <w:numId w:val="9"/>
      </w:numPr>
      <w:spacing w:before="480" w:after="120" w:line="240" w:lineRule="auto"/>
      <w:ind w:left="709" w:hanging="709"/>
      <w:outlineLvl w:val="0"/>
    </w:pPr>
    <w:rPr>
      <w:rFonts w:asciiTheme="majorHAnsi" w:eastAsiaTheme="majorEastAsia" w:hAnsiTheme="majorHAnsi" w:cstheme="majorBidi"/>
      <w:bCs/>
      <w:color w:val="2D4F8E" w:themeColor="accent1" w:themeShade="B5"/>
      <w:sz w:val="44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CB9"/>
    <w:rPr>
      <w:sz w:val="20"/>
      <w:szCs w:val="20"/>
    </w:rPr>
  </w:style>
  <w:style w:type="character" w:styleId="Refdecomentario">
    <w:name w:val="annotation reference"/>
    <w:uiPriority w:val="99"/>
    <w:unhideWhenUsed/>
    <w:rsid w:val="00DB2CB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B9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Bullet List,FooterText,List Paragraph1,Colorful List Accent 1,numbered,列出段落,列出段落1,Bulletr List Paragraph,List Paragraph2,List Paragraph21,Párrafo de lista1,Parágrafo da Lista1,リスト段落1,Plan,Dot pt,F5 List Paragraph,????,normal,WB Para,RM1"/>
    <w:basedOn w:val="Normal"/>
    <w:link w:val="PrrafodelistaCar"/>
    <w:uiPriority w:val="34"/>
    <w:qFormat/>
    <w:rsid w:val="00DB2CB9"/>
    <w:pPr>
      <w:ind w:left="720"/>
      <w:contextualSpacing/>
    </w:pPr>
  </w:style>
  <w:style w:type="character" w:customStyle="1" w:styleId="PrrafodelistaCar">
    <w:name w:val="Párrafo de lista Car"/>
    <w:aliases w:val="Bullet List Car,FooterText Car,List Paragraph1 Car,Colorful List Accent 1 Car,numbered Car,列出段落 Car,列出段落1 Car,Bulletr List Paragraph Car,List Paragraph2 Car,List Paragraph21 Car,Párrafo de lista1 Car,Parágrafo da Lista1 Car,Plan Car"/>
    <w:link w:val="Prrafodelista"/>
    <w:uiPriority w:val="34"/>
    <w:locked/>
    <w:rsid w:val="00264E39"/>
  </w:style>
  <w:style w:type="paragraph" w:styleId="Encabezado">
    <w:name w:val="header"/>
    <w:basedOn w:val="Normal"/>
    <w:link w:val="EncabezadoCar"/>
    <w:uiPriority w:val="99"/>
    <w:unhideWhenUsed/>
    <w:rsid w:val="00BE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470"/>
  </w:style>
  <w:style w:type="paragraph" w:styleId="Piedepgina">
    <w:name w:val="footer"/>
    <w:basedOn w:val="Normal"/>
    <w:link w:val="PiedepginaCar"/>
    <w:uiPriority w:val="99"/>
    <w:unhideWhenUsed/>
    <w:rsid w:val="00BE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470"/>
  </w:style>
  <w:style w:type="character" w:customStyle="1" w:styleId="Ttulo1Car">
    <w:name w:val="Título 1 Car"/>
    <w:basedOn w:val="Fuentedeprrafopredeter"/>
    <w:link w:val="Ttulo1"/>
    <w:uiPriority w:val="9"/>
    <w:rsid w:val="00BE5470"/>
    <w:rPr>
      <w:rFonts w:asciiTheme="majorHAnsi" w:eastAsiaTheme="majorEastAsia" w:hAnsiTheme="majorHAnsi" w:cstheme="majorBidi"/>
      <w:bCs/>
      <w:color w:val="2D4F8E" w:themeColor="accent1" w:themeShade="B5"/>
      <w:sz w:val="44"/>
      <w:szCs w:val="5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F2D49CED201458DCA3BE3E07613FD" ma:contentTypeVersion="13" ma:contentTypeDescription="Crear nuevo documento." ma:contentTypeScope="" ma:versionID="5cb8ad25aa51bb00cc59737170a6c029">
  <xsd:schema xmlns:xsd="http://www.w3.org/2001/XMLSchema" xmlns:xs="http://www.w3.org/2001/XMLSchema" xmlns:p="http://schemas.microsoft.com/office/2006/metadata/properties" xmlns:ns3="0cadf8ea-e712-46b5-8379-6f15512813eb" xmlns:ns4="160e3dfe-2344-4694-b91e-7c4565f30e83" targetNamespace="http://schemas.microsoft.com/office/2006/metadata/properties" ma:root="true" ma:fieldsID="80ac847989c025b7fc7ae3602dd4d51c" ns3:_="" ns4:_="">
    <xsd:import namespace="0cadf8ea-e712-46b5-8379-6f15512813eb"/>
    <xsd:import namespace="160e3dfe-2344-4694-b91e-7c4565f30e8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f8ea-e712-46b5-8379-6f15512813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3dfe-2344-4694-b91e-7c4565f30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C211F-E956-4F51-8C6B-E0DB072A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df8ea-e712-46b5-8379-6f15512813eb"/>
    <ds:schemaRef ds:uri="160e3dfe-2344-4694-b91e-7c4565f30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D9AEC-1BDE-4FD5-89DD-FDCC4309A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D3102-EE55-4596-9642-FE0F79F8774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60e3dfe-2344-4694-b91e-7c4565f30e83"/>
    <ds:schemaRef ds:uri="0cadf8ea-e712-46b5-8379-6f15512813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Gulei</dc:creator>
  <cp:keywords/>
  <dc:description/>
  <cp:lastModifiedBy>00  CI -María Baquedano Latorre</cp:lastModifiedBy>
  <cp:revision>4</cp:revision>
  <dcterms:created xsi:type="dcterms:W3CDTF">2021-06-03T18:10:00Z</dcterms:created>
  <dcterms:modified xsi:type="dcterms:W3CDTF">2021-06-03T18:15:00Z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0x0101004A5F2D49CED201458DCA3BE3E07613FD</vt:lpwstr>
  </property>
</Properties>
</file>