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90A1" w14:textId="127CD988" w:rsidR="001B1BE2" w:rsidRPr="00471268" w:rsidRDefault="00D026C9" w:rsidP="001B1BE2">
      <w:pPr>
        <w:spacing w:line="240" w:lineRule="auto"/>
        <w:rPr>
          <w:rFonts w:ascii="Montserrat SemiBold" w:hAnsi="Montserrat SemiBold"/>
          <w:b/>
          <w:color w:val="E04848"/>
          <w:sz w:val="28"/>
          <w:szCs w:val="30"/>
          <w:lang w:val="en-GB" w:eastAsia="en-US"/>
        </w:rPr>
      </w:pPr>
      <w:r w:rsidRPr="00471268">
        <w:rPr>
          <w:rFonts w:ascii="Montserrat SemiBold" w:hAnsi="Montserrat SemiBold"/>
          <w:b/>
          <w:color w:val="E04848"/>
          <w:sz w:val="28"/>
          <w:szCs w:val="30"/>
          <w:lang w:val="en-GB" w:eastAsia="en-US"/>
        </w:rPr>
        <w:t>P5.S2. T3 Implementing the business continuity plan</w:t>
      </w:r>
    </w:p>
    <w:p w14:paraId="5AB1FFE9" w14:textId="77777777" w:rsidR="00D026C9" w:rsidRDefault="00D026C9" w:rsidP="001B1BE2">
      <w:pPr>
        <w:spacing w:line="240" w:lineRule="auto"/>
        <w:rPr>
          <w:lang w:val="en-GB" w:eastAsia="en-US"/>
        </w:rPr>
      </w:pPr>
    </w:p>
    <w:p w14:paraId="0542380C" w14:textId="77777777" w:rsidR="001B1BE2" w:rsidRDefault="001B1BE2" w:rsidP="001B1BE2">
      <w:pPr>
        <w:spacing w:line="240" w:lineRule="auto"/>
        <w:rPr>
          <w:sz w:val="18"/>
          <w:lang w:val="en-GB" w:eastAsia="en-US"/>
        </w:rPr>
      </w:pPr>
      <w:r>
        <w:rPr>
          <w:sz w:val="18"/>
          <w:lang w:val="en-GB" w:eastAsia="en-US"/>
        </w:rPr>
        <w:t>The</w:t>
      </w:r>
      <w:r w:rsidRPr="00386E30">
        <w:rPr>
          <w:sz w:val="18"/>
          <w:lang w:val="en-GB" w:eastAsia="en-US"/>
        </w:rPr>
        <w:t xml:space="preserve"> lack of resources to implement the preparedness measures identified </w:t>
      </w:r>
      <w:r>
        <w:rPr>
          <w:sz w:val="18"/>
          <w:lang w:val="en-GB" w:eastAsia="en-US"/>
        </w:rPr>
        <w:t>is</w:t>
      </w:r>
      <w:r w:rsidRPr="00386E30">
        <w:rPr>
          <w:sz w:val="18"/>
          <w:lang w:val="en-GB" w:eastAsia="en-US"/>
        </w:rPr>
        <w:t xml:space="preserve"> one of the main factors that hindered business preparedness</w:t>
      </w:r>
      <w:r>
        <w:rPr>
          <w:rStyle w:val="Refdenotaalpie"/>
          <w:sz w:val="18"/>
          <w:lang w:val="en-GB" w:eastAsia="en-US"/>
        </w:rPr>
        <w:footnoteReference w:id="1"/>
      </w:r>
      <w:r w:rsidRPr="00386E30">
        <w:rPr>
          <w:sz w:val="18"/>
          <w:lang w:val="en-GB" w:eastAsia="en-US"/>
        </w:rPr>
        <w:t xml:space="preserve">. The initiative was piloted in Ecuador, and CVA was suggested to support MEs in their business resilience efforts. Once the targeted MEs completed their business continuity plans using the Atlas App, MEs “shortcut” version, the </w:t>
      </w:r>
    </w:p>
    <w:p w14:paraId="586CE9BE" w14:textId="77777777" w:rsidR="001B1BE2" w:rsidRPr="00386E30" w:rsidRDefault="001B1BE2" w:rsidP="001B1BE2">
      <w:pPr>
        <w:spacing w:line="240" w:lineRule="auto"/>
        <w:rPr>
          <w:sz w:val="18"/>
          <w:lang w:val="en-GB" w:eastAsia="en-US"/>
        </w:rPr>
      </w:pPr>
      <w:r w:rsidRPr="00386E30">
        <w:rPr>
          <w:sz w:val="18"/>
          <w:lang w:val="en-GB" w:eastAsia="en-US"/>
        </w:rPr>
        <w:t xml:space="preserve">entrepreneurs received a cash transfer, focused on promoting and implementing the actions set out in the continuity plan developed.  This is not, of course, a valid solution for everyone and in all contexts, but in the framework of projects to support </w:t>
      </w:r>
      <w:r>
        <w:rPr>
          <w:sz w:val="18"/>
          <w:lang w:val="en-GB" w:eastAsia="en-US"/>
        </w:rPr>
        <w:t>ME</w:t>
      </w:r>
      <w:r w:rsidRPr="00386E30">
        <w:rPr>
          <w:sz w:val="18"/>
          <w:lang w:val="en-GB" w:eastAsia="en-US"/>
        </w:rPr>
        <w:t>, a budget line can be considered to support the implementation of measures identified in the contingency plans.</w:t>
      </w:r>
    </w:p>
    <w:p w14:paraId="654FFF81" w14:textId="77777777" w:rsidR="001B1BE2" w:rsidRPr="00386E30" w:rsidRDefault="001B1BE2" w:rsidP="001B1BE2">
      <w:pPr>
        <w:spacing w:line="240" w:lineRule="auto"/>
        <w:rPr>
          <w:lang w:val="en-GB" w:eastAsia="en-US"/>
        </w:rPr>
      </w:pPr>
    </w:p>
    <w:tbl>
      <w:tblPr>
        <w:tblStyle w:val="Tablanormal3"/>
        <w:tblW w:w="0" w:type="auto"/>
        <w:tblLook w:val="04A0" w:firstRow="1" w:lastRow="0" w:firstColumn="1" w:lastColumn="0" w:noHBand="0" w:noVBand="1"/>
      </w:tblPr>
      <w:tblGrid>
        <w:gridCol w:w="1908"/>
        <w:gridCol w:w="3285"/>
        <w:gridCol w:w="3311"/>
      </w:tblGrid>
      <w:tr w:rsidR="00471268" w:rsidRPr="00471268" w14:paraId="1A8D833E" w14:textId="77777777" w:rsidTr="006E3A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3"/>
          </w:tcPr>
          <w:p w14:paraId="4909DDC4" w14:textId="7E8AA889" w:rsidR="001B1BE2" w:rsidRPr="00471268" w:rsidRDefault="00471268" w:rsidP="006E3AB8">
            <w:pPr>
              <w:pBdr>
                <w:top w:val="none" w:sz="0" w:space="0" w:color="auto"/>
                <w:left w:val="none" w:sz="0" w:space="0" w:color="auto"/>
                <w:bottom w:val="none" w:sz="0" w:space="0" w:color="auto"/>
                <w:right w:val="none" w:sz="0" w:space="0" w:color="auto"/>
                <w:between w:val="none" w:sz="0" w:space="0" w:color="auto"/>
                <w:bar w:val="none" w:sz="0" w:color="auto"/>
              </w:pBdr>
              <w:rPr>
                <w:rFonts w:ascii="Montserrat SemiBold" w:hAnsi="Montserrat SemiBold"/>
                <w:color w:val="002060"/>
                <w:sz w:val="18"/>
                <w:lang w:val="en-GB" w:eastAsia="en-US"/>
              </w:rPr>
            </w:pPr>
            <w:r w:rsidRPr="00471268">
              <w:rPr>
                <w:rFonts w:ascii="Montserrat SemiBold" w:hAnsi="Montserrat SemiBold"/>
                <w:caps w:val="0"/>
                <w:color w:val="002060"/>
                <w:sz w:val="18"/>
                <w:lang w:val="en-GB" w:eastAsia="en-US"/>
              </w:rPr>
              <w:t>C</w:t>
            </w:r>
            <w:r>
              <w:rPr>
                <w:rFonts w:ascii="Montserrat SemiBold" w:hAnsi="Montserrat SemiBold"/>
                <w:caps w:val="0"/>
                <w:color w:val="002060"/>
                <w:sz w:val="18"/>
                <w:lang w:val="en-GB" w:eastAsia="en-US"/>
              </w:rPr>
              <w:t>V</w:t>
            </w:r>
            <w:r>
              <w:rPr>
                <w:rFonts w:ascii="Montserrat SemiBold" w:hAnsi="Montserrat SemiBold"/>
                <w:caps w:val="0"/>
                <w:color w:val="002060"/>
              </w:rPr>
              <w:t>A</w:t>
            </w:r>
            <w:r w:rsidRPr="00471268">
              <w:rPr>
                <w:rFonts w:ascii="Montserrat SemiBold" w:hAnsi="Montserrat SemiBold"/>
                <w:caps w:val="0"/>
                <w:color w:val="002060"/>
                <w:sz w:val="18"/>
                <w:lang w:val="en-GB" w:eastAsia="en-US"/>
              </w:rPr>
              <w:t xml:space="preserve"> to support </w:t>
            </w:r>
            <w:r>
              <w:rPr>
                <w:rFonts w:ascii="Montserrat SemiBold" w:hAnsi="Montserrat SemiBold"/>
                <w:caps w:val="0"/>
                <w:color w:val="002060"/>
                <w:sz w:val="18"/>
                <w:lang w:val="en-GB" w:eastAsia="en-US"/>
              </w:rPr>
              <w:t>B</w:t>
            </w:r>
            <w:r>
              <w:rPr>
                <w:rFonts w:ascii="Montserrat SemiBold" w:hAnsi="Montserrat SemiBold"/>
                <w:caps w:val="0"/>
                <w:color w:val="002060"/>
              </w:rPr>
              <w:t xml:space="preserve">PI </w:t>
            </w:r>
            <w:r w:rsidRPr="00471268">
              <w:rPr>
                <w:rFonts w:ascii="Montserrat SemiBold" w:hAnsi="Montserrat SemiBold"/>
                <w:caps w:val="0"/>
                <w:color w:val="002060"/>
                <w:sz w:val="18"/>
                <w:lang w:val="en-GB" w:eastAsia="en-US"/>
              </w:rPr>
              <w:t xml:space="preserve">in </w:t>
            </w:r>
            <w:r>
              <w:rPr>
                <w:rFonts w:ascii="Montserrat SemiBold" w:hAnsi="Montserrat SemiBold"/>
                <w:caps w:val="0"/>
                <w:color w:val="002060"/>
                <w:sz w:val="18"/>
                <w:lang w:val="en-GB" w:eastAsia="en-US"/>
              </w:rPr>
              <w:t>Ecuador</w:t>
            </w:r>
            <w:r w:rsidRPr="00471268">
              <w:rPr>
                <w:rFonts w:ascii="Montserrat SemiBold" w:hAnsi="Montserrat SemiBold"/>
                <w:caps w:val="0"/>
                <w:color w:val="002060"/>
                <w:sz w:val="18"/>
                <w:lang w:val="en-GB" w:eastAsia="en-US"/>
              </w:rPr>
              <w:t xml:space="preserve"> </w:t>
            </w:r>
          </w:p>
        </w:tc>
      </w:tr>
      <w:tr w:rsidR="001B1BE2" w:rsidRPr="00471268" w14:paraId="505F610F"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Pr>
          <w:p w14:paraId="41F0AF99" w14:textId="0DF1EF2A" w:rsidR="001B1BE2" w:rsidRPr="00471268" w:rsidRDefault="00471268" w:rsidP="006E3AB8">
            <w:pPr>
              <w:spacing w:line="240" w:lineRule="auto"/>
              <w:rPr>
                <w:rFonts w:cs="Open Sans"/>
                <w:b w:val="0"/>
                <w:bCs w:val="0"/>
                <w:lang w:val="en-GB" w:eastAsia="en-US"/>
              </w:rPr>
            </w:pPr>
            <w:r w:rsidRPr="00471268">
              <w:rPr>
                <w:rFonts w:cs="Open Sans"/>
                <w:b w:val="0"/>
                <w:bCs w:val="0"/>
                <w:caps w:val="0"/>
                <w:lang w:val="en-GB" w:eastAsia="en-US"/>
              </w:rPr>
              <w:t>This CVA was framed in the project “adaptation of bpi tools for me - pilot in E</w:t>
            </w:r>
            <w:r w:rsidRPr="00471268">
              <w:rPr>
                <w:rFonts w:cs="Open Sans"/>
                <w:b w:val="0"/>
                <w:bCs w:val="0"/>
                <w:caps w:val="0"/>
              </w:rPr>
              <w:t>cuador</w:t>
            </w:r>
            <w:r w:rsidRPr="00471268">
              <w:rPr>
                <w:rFonts w:cs="Open Sans"/>
                <w:b w:val="0"/>
                <w:bCs w:val="0"/>
                <w:caps w:val="0"/>
                <w:lang w:val="en-GB" w:eastAsia="en-US"/>
              </w:rPr>
              <w:t xml:space="preserve">” implemented by the </w:t>
            </w:r>
            <w:hyperlink r:id="rId11" w:history="1">
              <w:r w:rsidRPr="00471268">
                <w:rPr>
                  <w:rFonts w:cs="Open Sans"/>
                  <w:b w:val="0"/>
                  <w:bCs w:val="0"/>
                  <w:caps w:val="0"/>
                  <w:color w:val="FF0000"/>
                </w:rPr>
                <w:t>E</w:t>
              </w:r>
              <w:r w:rsidRPr="00471268">
                <w:rPr>
                  <w:rStyle w:val="Hipervnculo"/>
                  <w:rFonts w:ascii="Open Sans" w:hAnsi="Open Sans" w:cs="Open Sans"/>
                  <w:bCs w:val="0"/>
                  <w:caps w:val="0"/>
                  <w:color w:val="FF0000"/>
                  <w:lang w:val="en-GB" w:eastAsia="en-US"/>
                </w:rPr>
                <w:t>cuadorian Red Cross</w:t>
              </w:r>
            </w:hyperlink>
            <w:r w:rsidRPr="00471268">
              <w:rPr>
                <w:rFonts w:cs="Open Sans"/>
                <w:b w:val="0"/>
                <w:bCs w:val="0"/>
                <w:caps w:val="0"/>
                <w:lang w:val="en-GB" w:eastAsia="en-US"/>
              </w:rPr>
              <w:t xml:space="preserve"> in partnership with </w:t>
            </w:r>
            <w:hyperlink r:id="rId12" w:history="1">
              <w:r w:rsidRPr="00471268">
                <w:rPr>
                  <w:rStyle w:val="Hipervnculo"/>
                  <w:rFonts w:ascii="Open Sans" w:hAnsi="Open Sans" w:cs="Open Sans"/>
                  <w:bCs w:val="0"/>
                  <w:caps w:val="0"/>
                  <w:color w:val="FF0000"/>
                  <w:lang w:val="en-GB" w:eastAsia="en-US"/>
                </w:rPr>
                <w:t>Conquito</w:t>
              </w:r>
            </w:hyperlink>
            <w:r w:rsidRPr="00471268">
              <w:rPr>
                <w:rFonts w:cs="Open Sans"/>
                <w:b w:val="0"/>
                <w:bCs w:val="0"/>
                <w:caps w:val="0"/>
                <w:lang w:val="en-GB" w:eastAsia="en-US"/>
              </w:rPr>
              <w:t xml:space="preserve">, coordinated by </w:t>
            </w:r>
            <w:hyperlink r:id="rId13" w:history="1">
              <w:r w:rsidRPr="00471268">
                <w:rPr>
                  <w:rStyle w:val="Hipervnculo"/>
                  <w:rFonts w:ascii="Open Sans" w:hAnsi="Open Sans" w:cs="Open Sans"/>
                  <w:bCs w:val="0"/>
                  <w:caps w:val="0"/>
                  <w:lang w:val="en-GB" w:eastAsia="en-US"/>
                </w:rPr>
                <w:t>LRC</w:t>
              </w:r>
            </w:hyperlink>
            <w:r w:rsidRPr="00471268">
              <w:rPr>
                <w:rFonts w:cs="Open Sans"/>
                <w:b w:val="0"/>
                <w:bCs w:val="0"/>
                <w:caps w:val="0"/>
                <w:lang w:val="en-GB" w:eastAsia="en-US"/>
              </w:rPr>
              <w:t xml:space="preserve"> and the </w:t>
            </w:r>
            <w:hyperlink r:id="rId14" w:history="1">
              <w:r w:rsidRPr="00471268">
                <w:rPr>
                  <w:rStyle w:val="Hipervnculo"/>
                  <w:rFonts w:ascii="Open Sans" w:hAnsi="Open Sans" w:cs="Open Sans"/>
                  <w:bCs w:val="0"/>
                  <w:caps w:val="0"/>
                  <w:lang w:val="en-GB" w:eastAsia="en-US"/>
                </w:rPr>
                <w:t>GDPC</w:t>
              </w:r>
            </w:hyperlink>
            <w:r w:rsidRPr="00471268">
              <w:rPr>
                <w:rFonts w:cs="Open Sans"/>
                <w:b w:val="0"/>
                <w:bCs w:val="0"/>
                <w:caps w:val="0"/>
                <w:lang w:val="en-GB" w:eastAsia="en-US"/>
              </w:rPr>
              <w:t xml:space="preserve">, with the funding of the </w:t>
            </w:r>
            <w:hyperlink r:id="rId15" w:history="1">
              <w:r w:rsidRPr="00471268">
                <w:rPr>
                  <w:rStyle w:val="Hipervnculo"/>
                  <w:rFonts w:ascii="Open Sans" w:hAnsi="Open Sans" w:cs="Open Sans"/>
                  <w:bCs w:val="0"/>
                  <w:caps w:val="0"/>
                  <w:lang w:val="en-GB" w:eastAsia="en-US"/>
                </w:rPr>
                <w:t>BMZ</w:t>
              </w:r>
            </w:hyperlink>
            <w:r w:rsidRPr="00471268">
              <w:rPr>
                <w:rFonts w:cs="Open Sans"/>
                <w:b w:val="0"/>
                <w:bCs w:val="0"/>
                <w:caps w:val="0"/>
                <w:lang w:val="en-GB" w:eastAsia="en-US"/>
              </w:rPr>
              <w:t xml:space="preserve"> t</w:t>
            </w:r>
            <w:r w:rsidRPr="00471268">
              <w:rPr>
                <w:rFonts w:cs="Open Sans"/>
                <w:b w:val="0"/>
                <w:bCs w:val="0"/>
                <w:caps w:val="0"/>
              </w:rPr>
              <w:t>hrough</w:t>
            </w:r>
            <w:r w:rsidRPr="00471268">
              <w:rPr>
                <w:rFonts w:cs="Open Sans"/>
                <w:b w:val="0"/>
                <w:bCs w:val="0"/>
                <w:caps w:val="0"/>
                <w:lang w:val="en-GB" w:eastAsia="en-US"/>
              </w:rPr>
              <w:t xml:space="preserve"> the </w:t>
            </w:r>
            <w:hyperlink r:id="rId16" w:history="1">
              <w:r w:rsidRPr="00471268">
                <w:rPr>
                  <w:rStyle w:val="Hipervnculo"/>
                  <w:rFonts w:ascii="Open Sans" w:hAnsi="Open Sans" w:cs="Open Sans"/>
                  <w:bCs w:val="0"/>
                  <w:caps w:val="0"/>
                  <w:lang w:val="en-GB" w:eastAsia="en-US"/>
                </w:rPr>
                <w:t>IFRC</w:t>
              </w:r>
            </w:hyperlink>
            <w:r w:rsidRPr="00471268">
              <w:rPr>
                <w:rFonts w:cs="Open Sans"/>
                <w:b w:val="0"/>
                <w:bCs w:val="0"/>
                <w:caps w:val="0"/>
                <w:lang w:val="en-GB" w:eastAsia="en-US"/>
              </w:rPr>
              <w:t xml:space="preserve"> as part of the global appeal for covid-19i order to achieve the outcome 2 of the project</w:t>
            </w:r>
            <w:r w:rsidR="001B1BE2" w:rsidRPr="00471268">
              <w:rPr>
                <w:rFonts w:cs="Open Sans"/>
                <w:b w:val="0"/>
                <w:bCs w:val="0"/>
                <w:lang w:val="en-GB" w:eastAsia="en-US"/>
              </w:rPr>
              <w:t xml:space="preserve">: </w:t>
            </w:r>
            <w:r w:rsidRPr="00471268">
              <w:rPr>
                <w:rFonts w:cs="Open Sans"/>
                <w:b w:val="0"/>
                <w:bCs w:val="0"/>
                <w:i/>
                <w:caps w:val="0"/>
                <w:lang w:val="en-GB" w:eastAsia="en-US"/>
              </w:rPr>
              <w:t>50 M</w:t>
            </w:r>
            <w:r w:rsidRPr="00471268">
              <w:rPr>
                <w:rFonts w:cs="Open Sans"/>
                <w:b w:val="0"/>
                <w:bCs w:val="0"/>
                <w:i/>
                <w:caps w:val="0"/>
              </w:rPr>
              <w:t>Es</w:t>
            </w:r>
            <w:r w:rsidRPr="00471268">
              <w:rPr>
                <w:rFonts w:cs="Open Sans"/>
                <w:b w:val="0"/>
                <w:bCs w:val="0"/>
                <w:i/>
                <w:caps w:val="0"/>
                <w:lang w:val="en-GB" w:eastAsia="en-US"/>
              </w:rPr>
              <w:t xml:space="preserve"> strengthened to cope with the risk of disasters in their businesses, with the support of the atlas app</w:t>
            </w:r>
            <w:r w:rsidRPr="00471268">
              <w:rPr>
                <w:rFonts w:cs="Open Sans"/>
                <w:b w:val="0"/>
                <w:bCs w:val="0"/>
                <w:caps w:val="0"/>
                <w:lang w:val="en-GB" w:eastAsia="en-US"/>
              </w:rPr>
              <w:t>. It was conditional cash with the encouragement to invest the amount received on their business continuity plan.</w:t>
            </w:r>
          </w:p>
          <w:p w14:paraId="498D64C3" w14:textId="47293E5C" w:rsidR="001B1BE2" w:rsidRPr="00471268" w:rsidRDefault="00471268" w:rsidP="006E3AB8">
            <w:pPr>
              <w:spacing w:line="240" w:lineRule="auto"/>
              <w:rPr>
                <w:rFonts w:cs="Open Sans"/>
                <w:b w:val="0"/>
                <w:bCs w:val="0"/>
                <w:lang w:val="en-GB" w:eastAsia="en-US"/>
              </w:rPr>
            </w:pPr>
            <w:r w:rsidRPr="00471268">
              <w:rPr>
                <w:rFonts w:cs="Open Sans"/>
                <w:b w:val="0"/>
                <w:bCs w:val="0"/>
                <w:caps w:val="0"/>
                <w:lang w:val="en-GB" w:eastAsia="en-US"/>
              </w:rPr>
              <w:t>The C</w:t>
            </w:r>
            <w:r w:rsidRPr="00471268">
              <w:rPr>
                <w:rFonts w:cs="Open Sans"/>
                <w:b w:val="0"/>
                <w:bCs w:val="0"/>
                <w:caps w:val="0"/>
              </w:rPr>
              <w:t>VA</w:t>
            </w:r>
            <w:r w:rsidRPr="00471268">
              <w:rPr>
                <w:rFonts w:cs="Open Sans"/>
                <w:b w:val="0"/>
                <w:bCs w:val="0"/>
                <w:caps w:val="0"/>
                <w:lang w:val="en-GB" w:eastAsia="en-US"/>
              </w:rPr>
              <w:t xml:space="preserve"> aimed to contribute to the resilience of micro-business, by preparing a business continuity plan (BCP) in the face of disaster risks, in particular those related to Covid 19, which had hit Ecuador M</w:t>
            </w:r>
            <w:r w:rsidRPr="00471268">
              <w:rPr>
                <w:rFonts w:cs="Open Sans"/>
                <w:b w:val="0"/>
                <w:bCs w:val="0"/>
                <w:caps w:val="0"/>
              </w:rPr>
              <w:t xml:space="preserve">Es </w:t>
            </w:r>
            <w:r w:rsidRPr="00471268">
              <w:rPr>
                <w:rFonts w:cs="Open Sans"/>
                <w:b w:val="0"/>
                <w:bCs w:val="0"/>
                <w:caps w:val="0"/>
                <w:lang w:val="en-GB" w:eastAsia="en-US"/>
              </w:rPr>
              <w:t>so hard. Once the BCP was completed using the Atlas App, M</w:t>
            </w:r>
            <w:r w:rsidRPr="00471268">
              <w:rPr>
                <w:rFonts w:cs="Open Sans"/>
                <w:b w:val="0"/>
                <w:bCs w:val="0"/>
                <w:caps w:val="0"/>
              </w:rPr>
              <w:t>E</w:t>
            </w:r>
            <w:r w:rsidRPr="00471268">
              <w:rPr>
                <w:rFonts w:cs="Open Sans"/>
                <w:b w:val="0"/>
                <w:bCs w:val="0"/>
                <w:caps w:val="0"/>
                <w:lang w:val="en-GB" w:eastAsia="en-US"/>
              </w:rPr>
              <w:t xml:space="preserve">s “shortcut” version, the entrepreneurs received a cash transfer, focused on promoting and implementing the actions set out in the continuity plan developed.  </w:t>
            </w:r>
          </w:p>
        </w:tc>
      </w:tr>
      <w:tr w:rsidR="001B1BE2" w:rsidRPr="00386E30" w14:paraId="575914BD" w14:textId="77777777" w:rsidTr="006E3AB8">
        <w:tc>
          <w:tcPr>
            <w:cnfStyle w:val="001000000000" w:firstRow="0" w:lastRow="0" w:firstColumn="1" w:lastColumn="0" w:oddVBand="0" w:evenVBand="0" w:oddHBand="0" w:evenHBand="0" w:firstRowFirstColumn="0" w:firstRowLastColumn="0" w:lastRowFirstColumn="0" w:lastRowLastColumn="0"/>
            <w:tcW w:w="1985" w:type="dxa"/>
          </w:tcPr>
          <w:p w14:paraId="761B5C94" w14:textId="77777777" w:rsidR="001B1BE2" w:rsidRPr="00471268" w:rsidRDefault="001B1BE2" w:rsidP="006E3AB8">
            <w:pPr>
              <w:spacing w:line="240" w:lineRule="auto"/>
              <w:rPr>
                <w:rFonts w:ascii="Montserrat SemiBold" w:hAnsi="Montserrat SemiBold"/>
                <w:color w:val="002060"/>
                <w:sz w:val="18"/>
                <w:lang w:val="en-GB" w:eastAsia="en-US"/>
              </w:rPr>
            </w:pPr>
            <w:r w:rsidRPr="00471268">
              <w:rPr>
                <w:rFonts w:ascii="Montserrat SemiBold" w:hAnsi="Montserrat SemiBold"/>
                <w:color w:val="002060"/>
                <w:sz w:val="18"/>
                <w:lang w:val="en-GB" w:eastAsia="en-US"/>
              </w:rPr>
              <w:t xml:space="preserve">Main needs identified by the micro business owners </w:t>
            </w:r>
          </w:p>
          <w:p w14:paraId="12BB9BB2" w14:textId="77777777" w:rsidR="001B1BE2" w:rsidRPr="00471268" w:rsidRDefault="001B1BE2" w:rsidP="006E3AB8">
            <w:pPr>
              <w:spacing w:line="240" w:lineRule="auto"/>
              <w:rPr>
                <w:rFonts w:ascii="Montserrat SemiBold" w:hAnsi="Montserrat SemiBold"/>
                <w:bCs w:val="0"/>
                <w:color w:val="002060"/>
                <w:sz w:val="18"/>
                <w:lang w:val="en-GB" w:eastAsia="en-US"/>
              </w:rPr>
            </w:pPr>
          </w:p>
        </w:tc>
        <w:tc>
          <w:tcPr>
            <w:tcW w:w="4145" w:type="dxa"/>
          </w:tcPr>
          <w:p w14:paraId="4250ADF1"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Raw material and key inputs</w:t>
            </w:r>
          </w:p>
          <w:p w14:paraId="2C2DCBD2"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Biosecurity equipment</w:t>
            </w:r>
          </w:p>
          <w:p w14:paraId="73F105E3"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Machinery</w:t>
            </w:r>
          </w:p>
          <w:p w14:paraId="007BC410"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Licenses and permits</w:t>
            </w:r>
          </w:p>
        </w:tc>
        <w:tc>
          <w:tcPr>
            <w:tcW w:w="4218" w:type="dxa"/>
          </w:tcPr>
          <w:p w14:paraId="271D5130"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Marketing channels</w:t>
            </w:r>
          </w:p>
          <w:p w14:paraId="2AC05AD5"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Credits</w:t>
            </w:r>
          </w:p>
          <w:p w14:paraId="30696BCB" w14:textId="77777777" w:rsidR="001B1BE2" w:rsidRPr="00386E30" w:rsidRDefault="001B1BE2" w:rsidP="001B1BE2">
            <w:pPr>
              <w:pStyle w:val="Prrafodelista"/>
              <w:numPr>
                <w:ilvl w:val="0"/>
                <w:numId w:val="2"/>
              </w:numPr>
              <w:spacing w:line="28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 xml:space="preserve">Rent payment </w:t>
            </w:r>
          </w:p>
        </w:tc>
      </w:tr>
      <w:tr w:rsidR="001B1BE2" w:rsidRPr="00386E30" w14:paraId="16DEDD44"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F7D6B85" w14:textId="77777777" w:rsidR="001B1BE2" w:rsidRPr="00471268" w:rsidRDefault="001B1BE2" w:rsidP="006E3AB8">
            <w:pPr>
              <w:spacing w:line="240" w:lineRule="auto"/>
              <w:rPr>
                <w:rFonts w:ascii="Montserrat SemiBold" w:hAnsi="Montserrat SemiBold"/>
                <w:color w:val="002060"/>
                <w:sz w:val="18"/>
                <w:lang w:val="en-GB" w:eastAsia="en-US"/>
              </w:rPr>
            </w:pPr>
            <w:r w:rsidRPr="00471268">
              <w:rPr>
                <w:rFonts w:ascii="Montserrat SemiBold" w:hAnsi="Montserrat SemiBold"/>
                <w:color w:val="002060"/>
                <w:sz w:val="18"/>
                <w:lang w:val="en-GB" w:eastAsia="en-US"/>
              </w:rPr>
              <w:t>Requirements to get the transfer</w:t>
            </w:r>
          </w:p>
        </w:tc>
        <w:tc>
          <w:tcPr>
            <w:tcW w:w="8363" w:type="dxa"/>
            <w:gridSpan w:val="2"/>
          </w:tcPr>
          <w:p w14:paraId="599288CF" w14:textId="77777777"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To complete 100% the itinerary of the Atlas app (all levels and modules) verified in the crisis &amp; recovery plan (pdf obtained from Atlas App)</w:t>
            </w:r>
          </w:p>
          <w:p w14:paraId="65974F94" w14:textId="77777777"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To attend the technical assistance sessions</w:t>
            </w:r>
          </w:p>
          <w:p w14:paraId="78D4CD8F" w14:textId="77777777"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To complete a final survey for the purpose of evaluating different aspects of the app</w:t>
            </w:r>
          </w:p>
        </w:tc>
      </w:tr>
      <w:tr w:rsidR="001B1BE2" w:rsidRPr="00386E30" w14:paraId="013046A4" w14:textId="77777777" w:rsidTr="006E3AB8">
        <w:tc>
          <w:tcPr>
            <w:cnfStyle w:val="001000000000" w:firstRow="0" w:lastRow="0" w:firstColumn="1" w:lastColumn="0" w:oddVBand="0" w:evenVBand="0" w:oddHBand="0" w:evenHBand="0" w:firstRowFirstColumn="0" w:firstRowLastColumn="0" w:lastRowFirstColumn="0" w:lastRowLastColumn="0"/>
            <w:tcW w:w="1985" w:type="dxa"/>
          </w:tcPr>
          <w:p w14:paraId="7EDB25FB" w14:textId="77777777" w:rsidR="001B1BE2" w:rsidRPr="00471268" w:rsidRDefault="001B1BE2" w:rsidP="006E3AB8">
            <w:pPr>
              <w:spacing w:line="240" w:lineRule="auto"/>
              <w:rPr>
                <w:rFonts w:ascii="Montserrat SemiBold" w:hAnsi="Montserrat SemiBold"/>
                <w:color w:val="002060"/>
                <w:sz w:val="18"/>
                <w:lang w:val="en-GB" w:eastAsia="en-US"/>
              </w:rPr>
            </w:pPr>
            <w:r w:rsidRPr="00471268">
              <w:rPr>
                <w:rFonts w:ascii="Montserrat SemiBold" w:hAnsi="Montserrat SemiBold"/>
                <w:color w:val="002060"/>
                <w:sz w:val="18"/>
                <w:lang w:val="en-GB"/>
              </w:rPr>
              <w:t>Total budget</w:t>
            </w:r>
          </w:p>
        </w:tc>
        <w:tc>
          <w:tcPr>
            <w:tcW w:w="8363" w:type="dxa"/>
            <w:gridSpan w:val="2"/>
          </w:tcPr>
          <w:p w14:paraId="384D1BCD" w14:textId="7AC85094" w:rsidR="001B1BE2" w:rsidRPr="00386E30" w:rsidRDefault="001B1BE2" w:rsidP="001B1BE2">
            <w:pPr>
              <w:pStyle w:val="Prrafodelista"/>
              <w:numPr>
                <w:ilvl w:val="0"/>
                <w:numId w:val="2"/>
              </w:numPr>
              <w:spacing w:line="32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The total budget allocated to the CVA amounted 25,500 USD</w:t>
            </w:r>
          </w:p>
        </w:tc>
      </w:tr>
      <w:tr w:rsidR="001B1BE2" w:rsidRPr="00386E30" w14:paraId="06F6257C"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412B9C7" w14:textId="77777777" w:rsidR="001B1BE2" w:rsidRPr="00471268" w:rsidRDefault="001B1BE2" w:rsidP="006E3AB8">
            <w:pPr>
              <w:spacing w:line="240" w:lineRule="auto"/>
              <w:rPr>
                <w:rFonts w:ascii="Montserrat SemiBold" w:hAnsi="Montserrat SemiBold"/>
                <w:color w:val="002060"/>
                <w:sz w:val="18"/>
                <w:lang w:val="en-GB" w:eastAsia="en-US"/>
              </w:rPr>
            </w:pPr>
            <w:r w:rsidRPr="00471268">
              <w:rPr>
                <w:rFonts w:ascii="Montserrat SemiBold" w:hAnsi="Montserrat SemiBold"/>
                <w:color w:val="002060"/>
                <w:sz w:val="18"/>
                <w:lang w:val="en-GB"/>
              </w:rPr>
              <w:t>Amount</w:t>
            </w:r>
          </w:p>
        </w:tc>
        <w:tc>
          <w:tcPr>
            <w:tcW w:w="8363" w:type="dxa"/>
            <w:gridSpan w:val="2"/>
          </w:tcPr>
          <w:p w14:paraId="4D6DC39C" w14:textId="54206B7C"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The cash transfer amounted 500 USD per person / per ME selected</w:t>
            </w:r>
          </w:p>
        </w:tc>
      </w:tr>
      <w:tr w:rsidR="001B1BE2" w:rsidRPr="00386E30" w14:paraId="41713440" w14:textId="77777777" w:rsidTr="006E3AB8">
        <w:tc>
          <w:tcPr>
            <w:cnfStyle w:val="001000000000" w:firstRow="0" w:lastRow="0" w:firstColumn="1" w:lastColumn="0" w:oddVBand="0" w:evenVBand="0" w:oddHBand="0" w:evenHBand="0" w:firstRowFirstColumn="0" w:firstRowLastColumn="0" w:lastRowFirstColumn="0" w:lastRowLastColumn="0"/>
            <w:tcW w:w="1985" w:type="dxa"/>
          </w:tcPr>
          <w:p w14:paraId="2C08ADC3" w14:textId="77777777" w:rsidR="001B1BE2" w:rsidRPr="00471268" w:rsidRDefault="001B1BE2" w:rsidP="006E3AB8">
            <w:pPr>
              <w:spacing w:line="240" w:lineRule="auto"/>
              <w:rPr>
                <w:rFonts w:ascii="Montserrat SemiBold" w:hAnsi="Montserrat SemiBold"/>
                <w:color w:val="002060"/>
                <w:sz w:val="18"/>
                <w:lang w:val="en-GB" w:eastAsia="en-US"/>
              </w:rPr>
            </w:pPr>
            <w:r w:rsidRPr="00471268">
              <w:rPr>
                <w:rFonts w:ascii="Montserrat SemiBold" w:hAnsi="Montserrat SemiBold"/>
                <w:color w:val="002060"/>
                <w:sz w:val="18"/>
                <w:lang w:val="en-GB"/>
              </w:rPr>
              <w:t xml:space="preserve">Mechanism </w:t>
            </w:r>
          </w:p>
        </w:tc>
        <w:tc>
          <w:tcPr>
            <w:tcW w:w="8363" w:type="dxa"/>
            <w:gridSpan w:val="2"/>
          </w:tcPr>
          <w:p w14:paraId="63FECFA7" w14:textId="446E80C6" w:rsidR="001B1BE2" w:rsidRPr="00386E30" w:rsidRDefault="001B1BE2" w:rsidP="001B1BE2">
            <w:pPr>
              <w:pStyle w:val="Prrafodelista"/>
              <w:numPr>
                <w:ilvl w:val="0"/>
                <w:numId w:val="2"/>
              </w:numPr>
              <w:spacing w:line="320" w:lineRule="exact"/>
              <w:ind w:left="215" w:hanging="215"/>
              <w:contextualSpacing/>
              <w:cnfStyle w:val="000000000000" w:firstRow="0" w:lastRow="0" w:firstColumn="0" w:lastColumn="0" w:oddVBand="0" w:evenVBand="0" w:oddHBand="0"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 xml:space="preserve">The mechanism chosen was withdrawal of cash without card through a unique, individual and private </w:t>
            </w:r>
            <w:r w:rsidR="00471268">
              <w:rPr>
                <w:sz w:val="18"/>
                <w:szCs w:val="18"/>
                <w:bdr w:val="none" w:sz="0" w:space="0" w:color="auto"/>
                <w:lang w:val="en-GB" w:eastAsia="en-US"/>
                <w14:textOutline w14:w="0" w14:cap="rnd" w14:cmpd="sng" w14:algn="ctr">
                  <w14:noFill/>
                  <w14:prstDash w14:val="solid"/>
                  <w14:bevel/>
                </w14:textOutline>
              </w:rPr>
              <w:t>h</w:t>
            </w:r>
            <w:r w:rsidR="00471268">
              <w:rPr>
                <w:szCs w:val="18"/>
                <w:bdr w:val="none" w:sz="0" w:space="0" w:color="auto"/>
                <w14:textOutline w14:w="0" w14:cap="rnd" w14:cmpd="sng" w14:algn="ctr">
                  <w14:noFill/>
                  <w14:prstDash w14:val="solid"/>
                  <w14:bevel/>
                </w14:textOutline>
              </w:rPr>
              <w:t>anded-in</w:t>
            </w:r>
            <w:r w:rsidRPr="00386E30">
              <w:rPr>
                <w:sz w:val="18"/>
                <w:szCs w:val="18"/>
                <w:bdr w:val="none" w:sz="0" w:space="0" w:color="auto"/>
                <w:lang w:val="en-GB" w:eastAsia="en-US"/>
                <w14:textOutline w14:w="0" w14:cap="rnd" w14:cmpd="sng" w14:algn="ctr">
                  <w14:noFill/>
                  <w14:prstDash w14:val="solid"/>
                  <w14:bevel/>
                </w14:textOutline>
              </w:rPr>
              <w:t xml:space="preserve"> code</w:t>
            </w:r>
          </w:p>
        </w:tc>
      </w:tr>
      <w:tr w:rsidR="001B1BE2" w:rsidRPr="00386E30" w14:paraId="44AD9370"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EEE5B62" w14:textId="77777777" w:rsidR="001B1BE2" w:rsidRPr="00471268" w:rsidRDefault="001B1BE2" w:rsidP="006E3AB8">
            <w:pPr>
              <w:spacing w:line="240" w:lineRule="auto"/>
              <w:rPr>
                <w:rFonts w:ascii="Montserrat SemiBold" w:hAnsi="Montserrat SemiBold"/>
                <w:color w:val="002060"/>
                <w:sz w:val="18"/>
                <w:lang w:val="en-GB"/>
              </w:rPr>
            </w:pPr>
            <w:r w:rsidRPr="00471268">
              <w:rPr>
                <w:rFonts w:ascii="Montserrat SemiBold" w:hAnsi="Montserrat SemiBold"/>
                <w:color w:val="002060"/>
                <w:sz w:val="18"/>
                <w:lang w:val="en-GB"/>
              </w:rPr>
              <w:t>findings</w:t>
            </w:r>
          </w:p>
        </w:tc>
        <w:tc>
          <w:tcPr>
            <w:tcW w:w="8363" w:type="dxa"/>
            <w:gridSpan w:val="2"/>
          </w:tcPr>
          <w:p w14:paraId="09349A2B" w14:textId="5E4F076A"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Including cash assistance to support the implementation of the identified continuity plans and thus address the lack of resources reported (du</w:t>
            </w:r>
            <w:r>
              <w:rPr>
                <w:sz w:val="18"/>
                <w:szCs w:val="18"/>
                <w:bdr w:val="none" w:sz="0" w:space="0" w:color="auto"/>
                <w:lang w:val="en-GB" w:eastAsia="en-US"/>
                <w14:textOutline w14:w="0" w14:cap="rnd" w14:cmpd="sng" w14:algn="ctr">
                  <w14:noFill/>
                  <w14:prstDash w14:val="solid"/>
                  <w14:bevel/>
                </w14:textOutline>
              </w:rPr>
              <w:t>r</w:t>
            </w:r>
            <w:r w:rsidRPr="00386E30">
              <w:rPr>
                <w:sz w:val="18"/>
                <w:szCs w:val="18"/>
                <w:bdr w:val="none" w:sz="0" w:space="0" w:color="auto"/>
                <w:lang w:val="en-GB" w:eastAsia="en-US"/>
                <w14:textOutline w14:w="0" w14:cap="rnd" w14:cmpd="sng" w14:algn="ctr">
                  <w14:noFill/>
                  <w14:prstDash w14:val="solid"/>
                  <w14:bevel/>
                </w14:textOutline>
              </w:rPr>
              <w:t xml:space="preserve">ing the gap assessment) has proved to be a motivating element and is therefore considered a good practice. </w:t>
            </w:r>
          </w:p>
          <w:p w14:paraId="420B15C0" w14:textId="77777777"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t xml:space="preserve">CVA helped to foster a sense of ownership and that taking steps to protect their business is in their hands. </w:t>
            </w:r>
          </w:p>
          <w:p w14:paraId="3E4E2E15" w14:textId="77777777"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sz w:val="18"/>
                <w:szCs w:val="18"/>
                <w:bdr w:val="none" w:sz="0" w:space="0" w:color="auto"/>
                <w:lang w:val="en-GB" w:eastAsia="en-US"/>
                <w14:textOutline w14:w="0" w14:cap="rnd" w14:cmpd="sng" w14:algn="ctr">
                  <w14:noFill/>
                  <w14:prstDash w14:val="solid"/>
                  <w14:bevel/>
                </w14:textOutline>
              </w:rPr>
              <w:lastRenderedPageBreak/>
              <w:t>The accompaniment and close monitoring of the microentrepreneurs throughout the process of developing the crisis 6 recovery plans was critical to the success of the pilot.</w:t>
            </w:r>
          </w:p>
          <w:p w14:paraId="584AB278" w14:textId="788F7588" w:rsidR="001B1BE2" w:rsidRPr="00386E30" w:rsidRDefault="001B1BE2" w:rsidP="001B1BE2">
            <w:pPr>
              <w:pStyle w:val="Prrafodelista"/>
              <w:numPr>
                <w:ilvl w:val="0"/>
                <w:numId w:val="2"/>
              </w:numPr>
              <w:spacing w:line="320" w:lineRule="exact"/>
              <w:ind w:left="215" w:hanging="215"/>
              <w:contextualSpacing/>
              <w:cnfStyle w:val="000000100000" w:firstRow="0" w:lastRow="0" w:firstColumn="0" w:lastColumn="0" w:oddVBand="0" w:evenVBand="0" w:oddHBand="1" w:evenHBand="0" w:firstRowFirstColumn="0" w:firstRowLastColumn="0" w:lastRowFirstColumn="0" w:lastRowLastColumn="0"/>
              <w:rPr>
                <w:sz w:val="18"/>
                <w:szCs w:val="18"/>
                <w:bdr w:val="none" w:sz="0" w:space="0" w:color="auto"/>
                <w:lang w:val="en-GB" w:eastAsia="en-US"/>
                <w14:textOutline w14:w="0" w14:cap="rnd" w14:cmpd="sng" w14:algn="ctr">
                  <w14:noFill/>
                  <w14:prstDash w14:val="solid"/>
                  <w14:bevel/>
                </w14:textOutline>
              </w:rPr>
            </w:pPr>
            <w:r w:rsidRPr="00386E30">
              <w:rPr>
                <w:noProof/>
                <w:sz w:val="18"/>
                <w:szCs w:val="18"/>
                <w:bdr w:val="none" w:sz="0" w:space="0" w:color="auto"/>
                <w:lang w:val="es-ES_tradnl"/>
                <w14:textOutline w14:w="0" w14:cap="rnd" w14:cmpd="sng" w14:algn="ctr">
                  <w14:noFill/>
                  <w14:prstDash w14:val="solid"/>
                  <w14:bevel/>
                </w14:textOutline>
              </w:rPr>
              <w:drawing>
                <wp:anchor distT="0" distB="0" distL="114300" distR="114300" simplePos="0" relativeHeight="251659264" behindDoc="0" locked="0" layoutInCell="1" allowOverlap="1" wp14:anchorId="363CBC3D" wp14:editId="530E2FEC">
                  <wp:simplePos x="0" y="0"/>
                  <wp:positionH relativeFrom="column">
                    <wp:posOffset>4833620</wp:posOffset>
                  </wp:positionH>
                  <wp:positionV relativeFrom="paragraph">
                    <wp:posOffset>16510</wp:posOffset>
                  </wp:positionV>
                  <wp:extent cx="495300" cy="495300"/>
                  <wp:effectExtent l="0" t="0" r="0" b="0"/>
                  <wp:wrapSquare wrapText="bothSides"/>
                  <wp:docPr id="20234" name="Imagen 2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 name="Video testimonio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Pr="00386E30">
              <w:rPr>
                <w:sz w:val="18"/>
                <w:szCs w:val="18"/>
                <w:bdr w:val="none" w:sz="0" w:space="0" w:color="auto"/>
                <w:lang w:val="en-GB" w:eastAsia="en-US"/>
                <w14:textOutline w14:w="0" w14:cap="rnd" w14:cmpd="sng" w14:algn="ctr">
                  <w14:noFill/>
                  <w14:prstDash w14:val="solid"/>
                  <w14:bevel/>
                </w14:textOutline>
              </w:rPr>
              <w:t xml:space="preserve">Video documentation of the pilot experience in Ecuador, accessible </w:t>
            </w:r>
            <w:hyperlink r:id="rId18" w:history="1">
              <w:r w:rsidRPr="00386E30">
                <w:rPr>
                  <w:sz w:val="18"/>
                  <w:szCs w:val="18"/>
                  <w:bdr w:val="none" w:sz="0" w:space="0" w:color="auto"/>
                  <w:lang w:val="en-GB" w:eastAsia="en-US"/>
                  <w14:textOutline w14:w="0" w14:cap="rnd" w14:cmpd="sng" w14:algn="ctr">
                    <w14:noFill/>
                    <w14:prstDash w14:val="solid"/>
                    <w14:bevel/>
                  </w14:textOutline>
                </w:rPr>
                <w:t>here</w:t>
              </w:r>
            </w:hyperlink>
            <w:r w:rsidRPr="00386E30">
              <w:rPr>
                <w:sz w:val="18"/>
                <w:szCs w:val="18"/>
                <w:bdr w:val="none" w:sz="0" w:space="0" w:color="auto"/>
                <w:lang w:val="en-GB" w:eastAsia="en-US"/>
                <w14:textOutline w14:w="0" w14:cap="rnd" w14:cmpd="sng" w14:algn="ctr">
                  <w14:noFill/>
                  <w14:prstDash w14:val="solid"/>
                  <w14:bevel/>
                </w14:textOutline>
              </w:rPr>
              <w:t xml:space="preserve"> or scanning the QR code on the right</w:t>
            </w:r>
            <w:r w:rsidR="00D026C9">
              <w:rPr>
                <w:sz w:val="18"/>
                <w:szCs w:val="18"/>
                <w:bdr w:val="none" w:sz="0" w:space="0" w:color="auto"/>
                <w:lang w:val="en-GB" w:eastAsia="en-US"/>
                <w14:textOutline w14:w="0" w14:cap="rnd" w14:cmpd="sng" w14:algn="ctr">
                  <w14:noFill/>
                  <w14:prstDash w14:val="solid"/>
                  <w14:bevel/>
                </w14:textOutline>
              </w:rPr>
              <w:t xml:space="preserve"> (only available in Spanish)</w:t>
            </w:r>
          </w:p>
        </w:tc>
      </w:tr>
    </w:tbl>
    <w:p w14:paraId="51FE1477" w14:textId="77777777" w:rsidR="0028245B" w:rsidRDefault="006F255B"/>
    <w:sectPr w:rsidR="0028245B" w:rsidSect="001B1BE2">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74CF" w14:textId="77777777" w:rsidR="006F255B" w:rsidRDefault="006F255B" w:rsidP="001B1BE2">
      <w:pPr>
        <w:spacing w:line="240" w:lineRule="auto"/>
      </w:pPr>
      <w:r>
        <w:separator/>
      </w:r>
    </w:p>
  </w:endnote>
  <w:endnote w:type="continuationSeparator" w:id="0">
    <w:p w14:paraId="3A118318" w14:textId="77777777" w:rsidR="006F255B" w:rsidRDefault="006F255B" w:rsidP="001B1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4DDF" w14:textId="77777777" w:rsidR="006F255B" w:rsidRDefault="006F255B" w:rsidP="001B1BE2">
      <w:pPr>
        <w:spacing w:line="240" w:lineRule="auto"/>
      </w:pPr>
      <w:r>
        <w:separator/>
      </w:r>
    </w:p>
  </w:footnote>
  <w:footnote w:type="continuationSeparator" w:id="0">
    <w:p w14:paraId="2B3BB054" w14:textId="77777777" w:rsidR="006F255B" w:rsidRDefault="006F255B" w:rsidP="001B1BE2">
      <w:pPr>
        <w:spacing w:line="240" w:lineRule="auto"/>
      </w:pPr>
      <w:r>
        <w:continuationSeparator/>
      </w:r>
    </w:p>
  </w:footnote>
  <w:footnote w:id="1">
    <w:p w14:paraId="31325570" w14:textId="77777777" w:rsidR="001B1BE2" w:rsidRPr="00D026C9" w:rsidRDefault="001B1BE2" w:rsidP="001B1BE2">
      <w:pPr>
        <w:pStyle w:val="Textonotapie"/>
        <w:rPr>
          <w:lang w:val="en-GB"/>
        </w:rPr>
      </w:pPr>
      <w:r>
        <w:rPr>
          <w:rStyle w:val="Refdenotaalpie"/>
        </w:rPr>
        <w:footnoteRef/>
      </w:r>
      <w:r w:rsidRPr="00D026C9">
        <w:rPr>
          <w:lang w:val="en-GB"/>
        </w:rPr>
        <w:t xml:space="preserve"> </w:t>
      </w:r>
      <w:r>
        <w:rPr>
          <w:sz w:val="18"/>
          <w:lang w:val="en-GB" w:eastAsia="en-US"/>
        </w:rPr>
        <w:t>As identified d</w:t>
      </w:r>
      <w:r w:rsidRPr="00386E30">
        <w:rPr>
          <w:sz w:val="18"/>
          <w:lang w:val="en-GB" w:eastAsia="en-US"/>
        </w:rPr>
        <w:t>uring a gap Analysis conducted by the</w:t>
      </w:r>
      <w:r>
        <w:rPr>
          <w:sz w:val="18"/>
          <w:lang w:val="en-GB" w:eastAsia="en-US"/>
        </w:rPr>
        <w:t xml:space="preserve"> </w:t>
      </w:r>
      <w:r w:rsidRPr="00386E30">
        <w:rPr>
          <w:sz w:val="18"/>
          <w:lang w:val="en-GB" w:eastAsia="en-US"/>
        </w:rPr>
        <w:t>LRC to analyse usefulness of BPI tools Atlas App and Workshop in a Box for MEs in developing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774A" w14:textId="24EF6BD7" w:rsidR="00471268" w:rsidRDefault="00471268">
    <w:pPr>
      <w:pStyle w:val="Encabezado"/>
    </w:pPr>
    <w:r>
      <w:rPr>
        <w:noProof/>
      </w:rPr>
      <w:drawing>
        <wp:anchor distT="0" distB="0" distL="114300" distR="114300" simplePos="0" relativeHeight="251659264" behindDoc="0" locked="0" layoutInCell="1" allowOverlap="1" wp14:anchorId="1008ED0D" wp14:editId="60EAE771">
          <wp:simplePos x="0" y="0"/>
          <wp:positionH relativeFrom="margin">
            <wp:posOffset>4467225</wp:posOffset>
          </wp:positionH>
          <wp:positionV relativeFrom="paragraph">
            <wp:posOffset>-210185</wp:posOffset>
          </wp:positionV>
          <wp:extent cx="1724025" cy="463421"/>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634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2781"/>
    <w:multiLevelType w:val="hybridMultilevel"/>
    <w:tmpl w:val="8C448B5C"/>
    <w:lvl w:ilvl="0" w:tplc="27F683BE">
      <w:start w:val="1"/>
      <w:numFmt w:val="decimal"/>
      <w:lvlText w:val="S%1 "/>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5B760362"/>
    <w:multiLevelType w:val="hybridMultilevel"/>
    <w:tmpl w:val="8FD20DF0"/>
    <w:numStyleLink w:val="Vietagrande"/>
  </w:abstractNum>
  <w:abstractNum w:abstractNumId="2"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2"/>
  </w:num>
  <w:num w:numId="2">
    <w:abstractNumId w:val="1"/>
    <w:lvlOverride w:ilvl="0">
      <w:lvl w:ilvl="0" w:tplc="992258C2">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Override>
    <w:lvlOverride w:ilvl="1">
      <w:lvl w:ilvl="1" w:tplc="66786B18">
        <w:start w:val="1"/>
        <w:numFmt w:val="bullet"/>
        <w:lvlText w:val="o"/>
        <w:lvlJc w:val="left"/>
        <w:pPr>
          <w:ind w:left="1440" w:hanging="360"/>
        </w:pPr>
        <w:rPr>
          <w:rFonts w:ascii="Courier New" w:hAnsi="Courier New" w:cs="Courier New" w:hint="default"/>
        </w:rPr>
      </w:lvl>
    </w:lvlOverride>
    <w:lvlOverride w:ilvl="2">
      <w:lvl w:ilvl="2" w:tplc="1242E352">
        <w:start w:val="1"/>
        <w:numFmt w:val="bullet"/>
        <w:pStyle w:val="Prrafodelista"/>
        <w:lvlText w:val=""/>
        <w:lvlJc w:val="left"/>
        <w:pPr>
          <w:ind w:left="2160" w:hanging="360"/>
        </w:pPr>
        <w:rPr>
          <w:rFonts w:ascii="Wingdings" w:hAnsi="Wingdings" w:hint="default"/>
        </w:rPr>
      </w:lvl>
    </w:lvlOverride>
    <w:lvlOverride w:ilvl="3">
      <w:lvl w:ilvl="3" w:tplc="5A30456C">
        <w:start w:val="1"/>
        <w:numFmt w:val="bullet"/>
        <w:lvlText w:val=""/>
        <w:lvlJc w:val="left"/>
        <w:pPr>
          <w:ind w:left="2880" w:hanging="360"/>
        </w:pPr>
        <w:rPr>
          <w:rFonts w:ascii="Symbol" w:hAnsi="Symbol" w:hint="default"/>
        </w:rPr>
      </w:lvl>
    </w:lvlOverride>
    <w:lvlOverride w:ilvl="4">
      <w:lvl w:ilvl="4" w:tplc="9AD083BA">
        <w:start w:val="1"/>
        <w:numFmt w:val="bullet"/>
        <w:lvlText w:val="o"/>
        <w:lvlJc w:val="left"/>
        <w:pPr>
          <w:ind w:left="3600" w:hanging="360"/>
        </w:pPr>
        <w:rPr>
          <w:rFonts w:ascii="Courier New" w:hAnsi="Courier New" w:cs="Courier New" w:hint="default"/>
        </w:rPr>
      </w:lvl>
    </w:lvlOverride>
    <w:lvlOverride w:ilvl="5">
      <w:lvl w:ilvl="5" w:tplc="0B60CA8C">
        <w:start w:val="1"/>
        <w:numFmt w:val="bullet"/>
        <w:lvlText w:val=""/>
        <w:lvlJc w:val="left"/>
        <w:pPr>
          <w:ind w:left="4320" w:hanging="360"/>
        </w:pPr>
        <w:rPr>
          <w:rFonts w:ascii="Wingdings" w:hAnsi="Wingdings" w:hint="default"/>
        </w:rPr>
      </w:lvl>
    </w:lvlOverride>
    <w:lvlOverride w:ilvl="6">
      <w:lvl w:ilvl="6" w:tplc="E630720A">
        <w:start w:val="1"/>
        <w:numFmt w:val="bullet"/>
        <w:lvlText w:val=""/>
        <w:lvlJc w:val="left"/>
        <w:pPr>
          <w:ind w:left="5040" w:hanging="360"/>
        </w:pPr>
        <w:rPr>
          <w:rFonts w:ascii="Symbol" w:hAnsi="Symbol" w:hint="default"/>
        </w:rPr>
      </w:lvl>
    </w:lvlOverride>
    <w:lvlOverride w:ilvl="7">
      <w:lvl w:ilvl="7" w:tplc="524A64D0">
        <w:start w:val="1"/>
        <w:numFmt w:val="bullet"/>
        <w:lvlText w:val="o"/>
        <w:lvlJc w:val="left"/>
        <w:pPr>
          <w:ind w:left="5760" w:hanging="360"/>
        </w:pPr>
        <w:rPr>
          <w:rFonts w:ascii="Courier New" w:hAnsi="Courier New" w:cs="Courier New" w:hint="default"/>
        </w:rPr>
      </w:lvl>
    </w:lvlOverride>
    <w:lvlOverride w:ilvl="8">
      <w:lvl w:ilvl="8" w:tplc="D7E64394">
        <w:start w:val="1"/>
        <w:numFmt w:val="bullet"/>
        <w:lvlText w:val=""/>
        <w:lvlJc w:val="left"/>
        <w:pPr>
          <w:ind w:left="6480" w:hanging="360"/>
        </w:pPr>
        <w:rPr>
          <w:rFonts w:ascii="Wingdings" w:hAnsi="Wingdings" w:hint="default"/>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2"/>
    <w:rsid w:val="0006127E"/>
    <w:rsid w:val="001B1BE2"/>
    <w:rsid w:val="00471268"/>
    <w:rsid w:val="006F255B"/>
    <w:rsid w:val="00974677"/>
    <w:rsid w:val="00D02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FC7E"/>
  <w15:chartTrackingRefBased/>
  <w15:docId w15:val="{5B83C3BD-60CC-41D4-A33C-73BFF16F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E2"/>
    <w:pPr>
      <w:pBdr>
        <w:top w:val="nil"/>
        <w:left w:val="nil"/>
        <w:bottom w:val="nil"/>
        <w:right w:val="nil"/>
        <w:between w:val="nil"/>
        <w:bar w:val="nil"/>
      </w:pBdr>
      <w:spacing w:after="0" w:line="360" w:lineRule="auto"/>
    </w:pPr>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 w:type="paragraph" w:styleId="Ttulo3">
    <w:name w:val="heading 3"/>
    <w:aliases w:val="CR-03-Subtitulo2"/>
    <w:basedOn w:val="Normal"/>
    <w:next w:val="Normal"/>
    <w:link w:val="Ttulo3Car"/>
    <w:uiPriority w:val="9"/>
    <w:unhideWhenUsed/>
    <w:qFormat/>
    <w:rsid w:val="001B1BE2"/>
    <w:pPr>
      <w:spacing w:line="288" w:lineRule="auto"/>
      <w:outlineLvl w:val="2"/>
    </w:pPr>
    <w:rPr>
      <w:rFonts w:ascii="Montserrat" w:hAnsi="Montserrat"/>
      <w:color w:val="E04848"/>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CR-03-Subtitulo2 Car"/>
    <w:basedOn w:val="Fuentedeprrafopredeter"/>
    <w:link w:val="Ttulo3"/>
    <w:uiPriority w:val="9"/>
    <w:rsid w:val="001B1BE2"/>
    <w:rPr>
      <w:rFonts w:ascii="Montserrat" w:eastAsia="Arial Unicode MS" w:hAnsi="Montserrat" w:cs="Arial Unicode MS"/>
      <w:color w:val="E04848"/>
      <w:sz w:val="32"/>
      <w:szCs w:val="32"/>
      <w:bdr w:val="nil"/>
      <w:lang w:val="es-ES_tradnl" w:eastAsia="es-ES_tradnl"/>
      <w14:textOutline w14:w="0" w14:cap="flat" w14:cmpd="sng" w14:algn="ctr">
        <w14:noFill/>
        <w14:prstDash w14:val="solid"/>
        <w14:bevel/>
      </w14:textOutline>
    </w:rPr>
  </w:style>
  <w:style w:type="character" w:styleId="Hipervnculo">
    <w:name w:val="Hyperlink"/>
    <w:uiPriority w:val="99"/>
    <w:rsid w:val="001B1BE2"/>
    <w:rPr>
      <w:rFonts w:ascii="Montserrat" w:hAnsi="Montserrat"/>
      <w:b/>
      <w:i w:val="0"/>
      <w:color w:val="E04848"/>
      <w:u w:val="single"/>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1B1BE2"/>
    <w:pPr>
      <w:numPr>
        <w:ilvl w:val="2"/>
        <w:numId w:val="2"/>
      </w:numPr>
    </w:pPr>
    <w:rPr>
      <w:lang w:val="it-IT"/>
    </w:rPr>
  </w:style>
  <w:style w:type="numbering" w:customStyle="1" w:styleId="Vietagrande">
    <w:name w:val="Viñeta grande"/>
    <w:rsid w:val="001B1BE2"/>
    <w:pPr>
      <w:numPr>
        <w:numId w:val="1"/>
      </w:numPr>
    </w:pPr>
  </w:style>
  <w:style w:type="character" w:styleId="Refdenotaalpie">
    <w:name w:val="footnote reference"/>
    <w:uiPriority w:val="99"/>
    <w:rsid w:val="001B1BE2"/>
    <w:rPr>
      <w:vertAlign w:val="superscript"/>
    </w:rPr>
  </w:style>
  <w:style w:type="paragraph" w:styleId="Textonotapie">
    <w:name w:val="footnote text"/>
    <w:basedOn w:val="Normal"/>
    <w:link w:val="TextonotapieCar"/>
    <w:uiPriority w:val="99"/>
    <w:rsid w:val="001B1B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pPr>
    <w:rPr>
      <w:rFonts w:ascii="Univers" w:eastAsia="Times New Roman" w:hAnsi="Univers" w:cs="Univers"/>
      <w:color w:val="00000A"/>
      <w:kern w:val="1"/>
      <w:bdr w:val="none" w:sz="0" w:space="0" w:color="auto"/>
      <w:lang w:val="es-ES" w:eastAsia="zh-CN"/>
      <w14:textOutline w14:w="0" w14:cap="rnd" w14:cmpd="sng" w14:algn="ctr">
        <w14:noFill/>
        <w14:prstDash w14:val="solid"/>
        <w14:bevel/>
      </w14:textOutline>
    </w:rPr>
  </w:style>
  <w:style w:type="character" w:customStyle="1" w:styleId="TextonotapieCar">
    <w:name w:val="Texto nota pie Car"/>
    <w:basedOn w:val="Fuentedeprrafopredeter"/>
    <w:link w:val="Textonotapie"/>
    <w:uiPriority w:val="99"/>
    <w:rsid w:val="001B1BE2"/>
    <w:rPr>
      <w:rFonts w:ascii="Univers" w:eastAsia="Times New Roman" w:hAnsi="Univers" w:cs="Univers"/>
      <w:color w:val="00000A"/>
      <w:kern w:val="1"/>
      <w:sz w:val="20"/>
      <w:szCs w:val="20"/>
      <w:lang w:eastAsia="zh-CN"/>
    </w:r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uiPriority w:val="34"/>
    <w:qFormat/>
    <w:rsid w:val="001B1BE2"/>
    <w:rPr>
      <w:rFonts w:ascii="Open Sans" w:eastAsia="Arial Unicode MS" w:hAnsi="Open Sans" w:cs="Arial Unicode MS"/>
      <w:color w:val="333333"/>
      <w:sz w:val="20"/>
      <w:szCs w:val="20"/>
      <w:bdr w:val="nil"/>
      <w:lang w:val="it-IT" w:eastAsia="es-ES_tradnl"/>
      <w14:textOutline w14:w="0" w14:cap="flat" w14:cmpd="sng" w14:algn="ctr">
        <w14:noFill/>
        <w14:prstDash w14:val="solid"/>
        <w14:bevel/>
      </w14:textOutline>
    </w:rPr>
  </w:style>
  <w:style w:type="table" w:styleId="Tablanormal3">
    <w:name w:val="Plain Table 3"/>
    <w:basedOn w:val="Tablanormal"/>
    <w:uiPriority w:val="43"/>
    <w:rsid w:val="001B1B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globo">
    <w:name w:val="Balloon Text"/>
    <w:basedOn w:val="Normal"/>
    <w:link w:val="TextodegloboCar"/>
    <w:uiPriority w:val="99"/>
    <w:semiHidden/>
    <w:unhideWhenUsed/>
    <w:rsid w:val="001B1B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BE2"/>
    <w:rPr>
      <w:rFonts w:ascii="Segoe UI" w:eastAsia="Arial Unicode MS" w:hAnsi="Segoe UI" w:cs="Segoe UI"/>
      <w:color w:val="333333"/>
      <w:sz w:val="18"/>
      <w:szCs w:val="18"/>
      <w:bdr w:val="nil"/>
      <w:lang w:val="en-US" w:eastAsia="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47126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71268"/>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47126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71268"/>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elihoodscentre.org/" TargetMode="External"/><Relationship Id="rId18" Type="http://schemas.openxmlformats.org/officeDocument/2006/relationships/hyperlink" Target="https://vimeo.com/49912040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nquito.org.ec/"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fr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uzroja.org.ec/" TargetMode="External"/><Relationship Id="rId5" Type="http://schemas.openxmlformats.org/officeDocument/2006/relationships/numbering" Target="numbering.xml"/><Relationship Id="rId15" Type="http://schemas.openxmlformats.org/officeDocument/2006/relationships/hyperlink" Target="https://www.bmz.de/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parecen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81839-38FB-4148-BABB-C4E1DAD84500}">
  <ds:schemaRefs>
    <ds:schemaRef ds:uri="http://schemas.openxmlformats.org/officeDocument/2006/bibliography"/>
  </ds:schemaRefs>
</ds:datastoreItem>
</file>

<file path=customXml/itemProps2.xml><?xml version="1.0" encoding="utf-8"?>
<ds:datastoreItem xmlns:ds="http://schemas.openxmlformats.org/officeDocument/2006/customXml" ds:itemID="{4F0B200E-1EF7-47CB-B1B5-B82285EDFC7D}"/>
</file>

<file path=customXml/itemProps3.xml><?xml version="1.0" encoding="utf-8"?>
<ds:datastoreItem xmlns:ds="http://schemas.openxmlformats.org/officeDocument/2006/customXml" ds:itemID="{57E527E3-BB62-4128-BA3C-F0B4C92126E5}">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4.xml><?xml version="1.0" encoding="utf-8"?>
<ds:datastoreItem xmlns:ds="http://schemas.openxmlformats.org/officeDocument/2006/customXml" ds:itemID="{0CBC0A65-B8F0-457C-9259-F73C586BB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-Patricia Falcón Andrés</cp:lastModifiedBy>
  <cp:revision>3</cp:revision>
  <dcterms:created xsi:type="dcterms:W3CDTF">2021-12-23T16:28:00Z</dcterms:created>
  <dcterms:modified xsi:type="dcterms:W3CDTF">2022-08-03T13:40:00Z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