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2711D" w14:textId="77777777" w:rsidR="00FC048F" w:rsidRDefault="00FC048F" w:rsidP="00552AC1">
      <w:pPr>
        <w:spacing w:after="120" w:line="259" w:lineRule="auto"/>
        <w:ind w:right="6"/>
        <w:jc w:val="center"/>
        <w:rPr>
          <w:rFonts w:asciiTheme="majorHAnsi" w:hAnsiTheme="majorHAnsi" w:cstheme="majorHAnsi"/>
          <w:b/>
          <w:color w:val="C00000"/>
          <w:sz w:val="30"/>
          <w:szCs w:val="30"/>
        </w:rPr>
      </w:pPr>
      <w:r w:rsidRPr="00FC048F">
        <w:rPr>
          <w:rFonts w:asciiTheme="majorHAnsi" w:hAnsiTheme="majorHAnsi" w:cstheme="majorHAnsi"/>
          <w:b/>
          <w:color w:val="C00000"/>
          <w:sz w:val="30"/>
          <w:szCs w:val="30"/>
        </w:rPr>
        <w:t>FICHE TECHNIQUE : HABB</w:t>
      </w:r>
      <w:bookmarkStart w:id="0" w:name="_GoBack"/>
      <w:bookmarkEnd w:id="0"/>
      <w:r w:rsidRPr="00FC048F">
        <w:rPr>
          <w:rFonts w:asciiTheme="majorHAnsi" w:hAnsiTheme="majorHAnsi" w:cstheme="majorHAnsi"/>
          <w:b/>
          <w:color w:val="C00000"/>
          <w:sz w:val="30"/>
          <w:szCs w:val="30"/>
        </w:rPr>
        <w:t xml:space="preserve">ANAYE </w:t>
      </w:r>
    </w:p>
    <w:p w14:paraId="29C55294" w14:textId="77777777" w:rsidR="00FC048F" w:rsidRDefault="00FC048F" w:rsidP="00552AC1">
      <w:pPr>
        <w:spacing w:after="120" w:line="259" w:lineRule="auto"/>
        <w:ind w:right="6"/>
        <w:jc w:val="center"/>
        <w:rPr>
          <w:rFonts w:asciiTheme="majorHAnsi" w:hAnsiTheme="majorHAnsi" w:cstheme="majorHAnsi"/>
          <w:b/>
          <w:color w:val="C00000"/>
          <w:sz w:val="30"/>
          <w:szCs w:val="30"/>
        </w:rPr>
      </w:pPr>
    </w:p>
    <w:p w14:paraId="65F9790F" w14:textId="77777777" w:rsidR="00FC048F" w:rsidRPr="00FC048F" w:rsidRDefault="00FC048F" w:rsidP="00FC048F">
      <w:pPr>
        <w:spacing w:after="120" w:line="259" w:lineRule="auto"/>
        <w:ind w:right="6"/>
        <w:jc w:val="both"/>
        <w:rPr>
          <w:rFonts w:ascii="Montserrat SemiBold" w:hAnsi="Montserrat SemiBold" w:cstheme="majorHAnsi"/>
          <w:color w:val="C00000"/>
          <w:sz w:val="24"/>
          <w:szCs w:val="24"/>
        </w:rPr>
      </w:pPr>
      <w:r w:rsidRPr="00FC048F">
        <w:rPr>
          <w:rFonts w:ascii="Montserrat SemiBold" w:hAnsi="Montserrat SemiBold" w:cstheme="majorHAnsi"/>
          <w:color w:val="C00000"/>
          <w:sz w:val="24"/>
          <w:szCs w:val="24"/>
        </w:rPr>
        <w:t xml:space="preserve">CONTEXTE </w:t>
      </w:r>
    </w:p>
    <w:p w14:paraId="36FA1677" w14:textId="73FE5D88" w:rsidR="00FC048F" w:rsidRDefault="00FC048F" w:rsidP="00FC048F">
      <w:p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 xml:space="preserve">Dans le cadre </w:t>
      </w:r>
      <w:r>
        <w:rPr>
          <w:rFonts w:asciiTheme="majorHAnsi" w:hAnsiTheme="majorHAnsi" w:cstheme="majorHAnsi"/>
          <w:szCs w:val="24"/>
        </w:rPr>
        <w:t xml:space="preserve">du projet </w:t>
      </w:r>
      <w:r w:rsidRPr="00FC048F">
        <w:rPr>
          <w:rFonts w:asciiTheme="majorHAnsi" w:hAnsiTheme="majorHAnsi" w:cstheme="majorHAnsi"/>
          <w:szCs w:val="24"/>
        </w:rPr>
        <w:t xml:space="preserve">……………………………………………………………………………………………………………………… </w:t>
      </w:r>
      <w:r>
        <w:rPr>
          <w:rFonts w:asciiTheme="majorHAnsi" w:hAnsiTheme="majorHAnsi" w:cstheme="majorHAnsi"/>
          <w:szCs w:val="24"/>
        </w:rPr>
        <w:t>c’est</w:t>
      </w:r>
      <w:r w:rsidRPr="00FC048F">
        <w:rPr>
          <w:rFonts w:asciiTheme="majorHAnsi" w:hAnsiTheme="majorHAnsi" w:cstheme="majorHAnsi"/>
          <w:szCs w:val="24"/>
        </w:rPr>
        <w:t xml:space="preserve"> prévu</w:t>
      </w:r>
      <w:r>
        <w:rPr>
          <w:rFonts w:asciiTheme="majorHAnsi" w:hAnsiTheme="majorHAnsi" w:cstheme="majorHAnsi"/>
          <w:szCs w:val="24"/>
        </w:rPr>
        <w:t>,</w:t>
      </w:r>
      <w:r w:rsidRPr="00FC048F">
        <w:rPr>
          <w:rFonts w:asciiTheme="majorHAnsi" w:hAnsiTheme="majorHAnsi" w:cstheme="majorHAnsi"/>
          <w:szCs w:val="24"/>
        </w:rPr>
        <w:t xml:space="preserve"> entre autres activités, la reconstitution du cheptel en octroyant ………</w:t>
      </w:r>
      <w:r>
        <w:rPr>
          <w:rFonts w:asciiTheme="majorHAnsi" w:hAnsiTheme="majorHAnsi" w:cstheme="majorHAnsi"/>
          <w:szCs w:val="24"/>
        </w:rPr>
        <w:t>…………</w:t>
      </w:r>
      <w:r w:rsidRPr="00FC048F">
        <w:rPr>
          <w:rFonts w:asciiTheme="majorHAnsi" w:hAnsiTheme="majorHAnsi" w:cstheme="majorHAnsi"/>
          <w:szCs w:val="24"/>
        </w:rPr>
        <w:t>………. à …………………………. selon une démarche traditionnelle peulh communément appelée le Habbanayé</w:t>
      </w:r>
      <w:r>
        <w:rPr>
          <w:rFonts w:asciiTheme="majorHAnsi" w:hAnsiTheme="majorHAnsi" w:cstheme="majorHAnsi"/>
          <w:szCs w:val="24"/>
        </w:rPr>
        <w:t>.</w:t>
      </w:r>
    </w:p>
    <w:p w14:paraId="0E680038" w14:textId="77777777" w:rsidR="00FC048F" w:rsidRPr="00FC048F" w:rsidRDefault="00FC048F" w:rsidP="00FC048F">
      <w:pPr>
        <w:spacing w:after="120" w:line="259" w:lineRule="auto"/>
        <w:ind w:right="6"/>
        <w:jc w:val="both"/>
        <w:rPr>
          <w:rFonts w:asciiTheme="majorHAnsi" w:hAnsiTheme="majorHAnsi" w:cstheme="majorHAnsi"/>
          <w:szCs w:val="24"/>
        </w:rPr>
      </w:pPr>
    </w:p>
    <w:p w14:paraId="333CA115" w14:textId="34E9B2F8" w:rsidR="00FC048F" w:rsidRPr="00FC048F" w:rsidRDefault="00FC048F" w:rsidP="00FC048F">
      <w:pPr>
        <w:spacing w:after="120" w:line="259" w:lineRule="auto"/>
        <w:ind w:right="6"/>
        <w:jc w:val="both"/>
        <w:rPr>
          <w:rFonts w:ascii="Montserrat SemiBold" w:hAnsi="Montserrat SemiBold" w:cstheme="majorHAnsi"/>
          <w:color w:val="C00000"/>
          <w:sz w:val="24"/>
          <w:szCs w:val="24"/>
        </w:rPr>
      </w:pPr>
      <w:r w:rsidRPr="00FC048F">
        <w:rPr>
          <w:rFonts w:ascii="Montserrat SemiBold" w:hAnsi="Montserrat SemiBold" w:cstheme="majorHAnsi"/>
          <w:color w:val="C00000"/>
          <w:sz w:val="24"/>
          <w:szCs w:val="24"/>
        </w:rPr>
        <w:t>DEFINITION</w:t>
      </w:r>
    </w:p>
    <w:p w14:paraId="0A724A52" w14:textId="46AC42FA" w:rsidR="00FC048F" w:rsidRDefault="00FC048F" w:rsidP="00FC048F">
      <w:pPr>
        <w:spacing w:after="120" w:line="259" w:lineRule="auto"/>
        <w:ind w:right="6"/>
        <w:jc w:val="both"/>
        <w:rPr>
          <w:rFonts w:asciiTheme="majorHAnsi" w:hAnsiTheme="majorHAnsi" w:cstheme="majorHAnsi"/>
          <w:szCs w:val="24"/>
        </w:rPr>
      </w:pPr>
      <w:r w:rsidRPr="003B5A0D">
        <w:rPr>
          <w:rFonts w:ascii="Calibri Light" w:eastAsia="Calibri" w:hAnsi="Calibri Light" w:cs="Calibri Light"/>
          <w:noProof/>
          <w:color w:val="000000"/>
          <w:lang w:eastAsia="fr-FR"/>
        </w:rPr>
        <w:drawing>
          <wp:anchor distT="0" distB="0" distL="114300" distR="114300" simplePos="0" relativeHeight="251658240" behindDoc="0" locked="0" layoutInCell="1" allowOverlap="1" wp14:anchorId="2977E2DC" wp14:editId="3176CDC6">
            <wp:simplePos x="0" y="0"/>
            <wp:positionH relativeFrom="column">
              <wp:posOffset>2179320</wp:posOffset>
            </wp:positionH>
            <wp:positionV relativeFrom="paragraph">
              <wp:posOffset>26670</wp:posOffset>
            </wp:positionV>
            <wp:extent cx="4505325" cy="2578735"/>
            <wp:effectExtent l="0" t="0" r="9525" b="0"/>
            <wp:wrapSquare wrapText="bothSides"/>
            <wp:docPr id="1" name="Image 4" descr="Description : Bénéficia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tion : Bénéficiair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5325" cy="2578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48F">
        <w:rPr>
          <w:rFonts w:asciiTheme="majorHAnsi" w:hAnsiTheme="majorHAnsi" w:cstheme="majorHAnsi"/>
          <w:szCs w:val="24"/>
        </w:rPr>
        <w:t xml:space="preserve">Par définition, le « Habbanayé » est une ancienne pratique des pasteurs éleveurs qui est en fait une chaine de solidarité sociale qui consiste à assister un éleveur démuni pour la reconstitution de son cheptel. </w:t>
      </w:r>
    </w:p>
    <w:p w14:paraId="05B0418C" w14:textId="3C6E7FEC" w:rsidR="00552AC1" w:rsidRDefault="00FC048F" w:rsidP="00552AC1">
      <w:p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Par définition, le « Habbanayé » est une ancienne pratique des pasteurs éleveurs qui est en fait une chaine de solidarité sociale qui consiste à assister un éleveur démuni pour la reconstitution de son cheptel. Cette assistance se fait via l’octroi des géniteurs que le récipiendaire élève pendant une période convenue (après quelques gestations) puis les restitue à son propriétaire en gardant les rejetons.</w:t>
      </w:r>
    </w:p>
    <w:p w14:paraId="4586C5A1" w14:textId="2019548F" w:rsidR="00FC048F" w:rsidRDefault="00FC048F" w:rsidP="00552AC1">
      <w:pPr>
        <w:spacing w:after="120" w:line="259" w:lineRule="auto"/>
        <w:ind w:right="6"/>
        <w:jc w:val="both"/>
        <w:rPr>
          <w:rFonts w:asciiTheme="majorHAnsi" w:hAnsiTheme="majorHAnsi" w:cstheme="majorHAnsi"/>
          <w:szCs w:val="24"/>
        </w:rPr>
      </w:pPr>
    </w:p>
    <w:p w14:paraId="7B1B17A2" w14:textId="77777777" w:rsidR="00FC048F" w:rsidRPr="00FC048F" w:rsidRDefault="00FC048F" w:rsidP="00FC048F">
      <w:pPr>
        <w:spacing w:after="120" w:line="259" w:lineRule="auto"/>
        <w:ind w:right="6"/>
        <w:jc w:val="both"/>
        <w:rPr>
          <w:rFonts w:ascii="Montserrat SemiBold" w:hAnsi="Montserrat SemiBold" w:cstheme="majorHAnsi"/>
          <w:color w:val="C00000"/>
          <w:sz w:val="24"/>
          <w:szCs w:val="24"/>
        </w:rPr>
      </w:pPr>
      <w:r w:rsidRPr="00FC048F">
        <w:rPr>
          <w:rFonts w:ascii="Montserrat SemiBold" w:hAnsi="Montserrat SemiBold" w:cstheme="majorHAnsi"/>
          <w:color w:val="C00000"/>
          <w:sz w:val="24"/>
          <w:szCs w:val="24"/>
        </w:rPr>
        <w:t>OBJECTIF</w:t>
      </w:r>
    </w:p>
    <w:p w14:paraId="59668F52" w14:textId="6F9EEF86" w:rsidR="00FC048F" w:rsidRDefault="00FC048F" w:rsidP="00FC048F">
      <w:p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L’objectif visé à travers le Habbanayé est d’améliorer les conditions de vie des ménages agropastoraux gravement affectés par les risques climatiques, par l’atténuation de leur vulnérabilité face à l’insécurité alimentaire.</w:t>
      </w:r>
    </w:p>
    <w:p w14:paraId="3F57D1A1" w14:textId="77777777" w:rsidR="00FC048F" w:rsidRPr="00FC048F" w:rsidRDefault="00FC048F" w:rsidP="00FC048F">
      <w:pPr>
        <w:spacing w:after="120" w:line="259" w:lineRule="auto"/>
        <w:ind w:right="6"/>
        <w:jc w:val="both"/>
        <w:rPr>
          <w:rFonts w:asciiTheme="majorHAnsi" w:hAnsiTheme="majorHAnsi" w:cstheme="majorHAnsi"/>
          <w:szCs w:val="24"/>
        </w:rPr>
      </w:pPr>
    </w:p>
    <w:p w14:paraId="4E95252A" w14:textId="4995287B" w:rsidR="00FC048F" w:rsidRPr="00FC048F" w:rsidRDefault="00FC048F" w:rsidP="00FC048F">
      <w:pPr>
        <w:spacing w:after="120" w:line="259" w:lineRule="auto"/>
        <w:ind w:right="6"/>
        <w:jc w:val="both"/>
        <w:rPr>
          <w:rFonts w:ascii="Montserrat SemiBold" w:hAnsi="Montserrat SemiBold" w:cstheme="majorHAnsi"/>
          <w:color w:val="C00000"/>
          <w:sz w:val="24"/>
          <w:szCs w:val="24"/>
        </w:rPr>
      </w:pPr>
      <w:r w:rsidRPr="00FC048F">
        <w:rPr>
          <w:rFonts w:ascii="Montserrat SemiBold" w:hAnsi="Montserrat SemiBold" w:cstheme="majorHAnsi"/>
          <w:color w:val="C00000"/>
          <w:sz w:val="24"/>
          <w:szCs w:val="24"/>
        </w:rPr>
        <w:t>METHODOLOGIE /</w:t>
      </w:r>
      <w:r w:rsidR="003315A5">
        <w:rPr>
          <w:rFonts w:ascii="Montserrat SemiBold" w:hAnsi="Montserrat SemiBold" w:cstheme="majorHAnsi"/>
          <w:color w:val="C00000"/>
          <w:sz w:val="24"/>
          <w:szCs w:val="24"/>
        </w:rPr>
        <w:t xml:space="preserve"> </w:t>
      </w:r>
      <w:r w:rsidRPr="00FC048F">
        <w:rPr>
          <w:rFonts w:ascii="Montserrat SemiBold" w:hAnsi="Montserrat SemiBold" w:cstheme="majorHAnsi"/>
          <w:color w:val="C00000"/>
          <w:sz w:val="24"/>
          <w:szCs w:val="24"/>
        </w:rPr>
        <w:t>STRATEGIE DE MISE EN ŒUVRE</w:t>
      </w:r>
    </w:p>
    <w:p w14:paraId="4ABF9712" w14:textId="77777777" w:rsidR="00FC048F" w:rsidRPr="00FC048F" w:rsidRDefault="00FC048F" w:rsidP="00FC048F">
      <w:p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La démarche adoptée pour la mise en œuvre de cette stratégie Habbanayé est la suivante :</w:t>
      </w:r>
    </w:p>
    <w:p w14:paraId="33136D13" w14:textId="478B461D" w:rsidR="00FC048F" w:rsidRPr="00FC048F" w:rsidRDefault="00FC048F" w:rsidP="00FC048F">
      <w:pPr>
        <w:pStyle w:val="Prrafodelista"/>
        <w:numPr>
          <w:ilvl w:val="0"/>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 xml:space="preserve">Choix des Organisations Paysannes </w:t>
      </w:r>
      <w:r>
        <w:rPr>
          <w:rFonts w:asciiTheme="majorHAnsi" w:hAnsiTheme="majorHAnsi" w:cstheme="majorHAnsi"/>
          <w:szCs w:val="24"/>
        </w:rPr>
        <w:t xml:space="preserve">(OP) </w:t>
      </w:r>
      <w:r w:rsidRPr="00FC048F">
        <w:rPr>
          <w:rFonts w:asciiTheme="majorHAnsi" w:hAnsiTheme="majorHAnsi" w:cstheme="majorHAnsi"/>
          <w:szCs w:val="24"/>
        </w:rPr>
        <w:t>organisées, dynamiques, ayant une cohésion sociale avérée, possédant un agrément (de préférence) ;</w:t>
      </w:r>
    </w:p>
    <w:p w14:paraId="0B4C3C16" w14:textId="7551DA69" w:rsidR="00FC048F" w:rsidRPr="00FC048F" w:rsidRDefault="00FC048F" w:rsidP="00FC048F">
      <w:pPr>
        <w:pStyle w:val="Prrafodelista"/>
        <w:numPr>
          <w:ilvl w:val="0"/>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Animation/sensibilisation sur les modalités de mise en œuvre de l’opération ;</w:t>
      </w:r>
    </w:p>
    <w:p w14:paraId="06A9C4BA" w14:textId="58726B40" w:rsidR="00FC048F" w:rsidRPr="00FC048F" w:rsidRDefault="00FC048F" w:rsidP="00FC048F">
      <w:pPr>
        <w:pStyle w:val="Prrafodelista"/>
        <w:numPr>
          <w:ilvl w:val="0"/>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lastRenderedPageBreak/>
        <w:t xml:space="preserve">Choix des bénéficiaires, en fonction des critères de vulnérabilité des ménages. </w:t>
      </w:r>
      <w:r>
        <w:rPr>
          <w:rFonts w:asciiTheme="majorHAnsi" w:hAnsiTheme="majorHAnsi" w:cstheme="majorHAnsi"/>
          <w:szCs w:val="24"/>
        </w:rPr>
        <w:t xml:space="preserve">&lt;N&gt; femmes/hommes </w:t>
      </w:r>
      <w:r w:rsidRPr="00FC048F">
        <w:rPr>
          <w:rFonts w:asciiTheme="majorHAnsi" w:hAnsiTheme="majorHAnsi" w:cstheme="majorHAnsi"/>
          <w:szCs w:val="24"/>
        </w:rPr>
        <w:t>bénéficiaires par O</w:t>
      </w:r>
      <w:r>
        <w:rPr>
          <w:rFonts w:asciiTheme="majorHAnsi" w:hAnsiTheme="majorHAnsi" w:cstheme="majorHAnsi"/>
          <w:szCs w:val="24"/>
        </w:rPr>
        <w:t xml:space="preserve">rganisation paysanne </w:t>
      </w:r>
      <w:r w:rsidRPr="00FC048F">
        <w:rPr>
          <w:rFonts w:asciiTheme="majorHAnsi" w:hAnsiTheme="majorHAnsi" w:cstheme="majorHAnsi"/>
          <w:szCs w:val="24"/>
        </w:rPr>
        <w:t>;</w:t>
      </w:r>
    </w:p>
    <w:p w14:paraId="39ECD7E8" w14:textId="31F122AE" w:rsidR="00FC048F" w:rsidRPr="00FC048F" w:rsidRDefault="00FC048F" w:rsidP="00FC048F">
      <w:pPr>
        <w:pStyle w:val="Prrafodelista"/>
        <w:numPr>
          <w:ilvl w:val="0"/>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Achat et mise en place des animaux par appel d’offre/comité d’achat ;</w:t>
      </w:r>
    </w:p>
    <w:p w14:paraId="4E23ABEF" w14:textId="0B27E21C" w:rsidR="00FC048F" w:rsidRPr="00FC048F" w:rsidRDefault="00FC048F" w:rsidP="00FC048F">
      <w:pPr>
        <w:pStyle w:val="Prrafodelista"/>
        <w:numPr>
          <w:ilvl w:val="0"/>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Réception, vaccination et bouclage avant la mise en place au niveau des OP ;</w:t>
      </w:r>
    </w:p>
    <w:p w14:paraId="4987C2B2" w14:textId="350DE8B9" w:rsidR="00FC048F" w:rsidRPr="00FC048F" w:rsidRDefault="00FC048F" w:rsidP="00FC048F">
      <w:pPr>
        <w:pStyle w:val="Prrafodelista"/>
        <w:numPr>
          <w:ilvl w:val="0"/>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Signature des contrats et octroi aux bénéficiaires : traduction des contrats en langue locale et explication par les techniciens des services techniques et du projet ;</w:t>
      </w:r>
    </w:p>
    <w:p w14:paraId="0FAF287B" w14:textId="77777777" w:rsidR="00FC048F" w:rsidRDefault="00FC048F" w:rsidP="00FC048F">
      <w:pPr>
        <w:pStyle w:val="Prrafodelista"/>
        <w:numPr>
          <w:ilvl w:val="0"/>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 xml:space="preserve">Contenu des contrats : </w:t>
      </w:r>
    </w:p>
    <w:p w14:paraId="0CB7D16E" w14:textId="77777777" w:rsidR="00FC048F" w:rsidRDefault="00FC048F" w:rsidP="00FC048F">
      <w:pPr>
        <w:pStyle w:val="Prrafodelista"/>
        <w:numPr>
          <w:ilvl w:val="1"/>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 xml:space="preserve">modalité de rotation (après 24 mois), </w:t>
      </w:r>
    </w:p>
    <w:p w14:paraId="0B9ACC25" w14:textId="419D5EDA" w:rsidR="00FC048F" w:rsidRDefault="00FC048F" w:rsidP="00FC048F">
      <w:pPr>
        <w:pStyle w:val="Prrafodelista"/>
        <w:numPr>
          <w:ilvl w:val="1"/>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 xml:space="preserve">constitution et gestion des fonds de remplacement (cotisation de </w:t>
      </w:r>
      <w:r>
        <w:rPr>
          <w:rFonts w:asciiTheme="majorHAnsi" w:hAnsiTheme="majorHAnsi" w:cstheme="majorHAnsi"/>
          <w:szCs w:val="24"/>
        </w:rPr>
        <w:t xml:space="preserve">XXX </w:t>
      </w:r>
      <w:r w:rsidRPr="00FC048F">
        <w:rPr>
          <w:rFonts w:asciiTheme="majorHAnsi" w:hAnsiTheme="majorHAnsi" w:cstheme="majorHAnsi"/>
          <w:szCs w:val="24"/>
        </w:rPr>
        <w:t>F</w:t>
      </w:r>
      <w:r>
        <w:rPr>
          <w:rFonts w:asciiTheme="majorHAnsi" w:hAnsiTheme="majorHAnsi" w:cstheme="majorHAnsi"/>
          <w:szCs w:val="24"/>
        </w:rPr>
        <w:t xml:space="preserve">CHA </w:t>
      </w:r>
      <w:r w:rsidRPr="00FC048F">
        <w:rPr>
          <w:rFonts w:asciiTheme="majorHAnsi" w:hAnsiTheme="majorHAnsi" w:cstheme="majorHAnsi"/>
          <w:szCs w:val="24"/>
        </w:rPr>
        <w:t>/</w:t>
      </w:r>
      <w:r>
        <w:rPr>
          <w:rFonts w:asciiTheme="majorHAnsi" w:hAnsiTheme="majorHAnsi" w:cstheme="majorHAnsi"/>
          <w:szCs w:val="24"/>
        </w:rPr>
        <w:t xml:space="preserve"> </w:t>
      </w:r>
      <w:r w:rsidRPr="00FC048F">
        <w:rPr>
          <w:rFonts w:asciiTheme="majorHAnsi" w:hAnsiTheme="majorHAnsi" w:cstheme="majorHAnsi"/>
          <w:szCs w:val="24"/>
        </w:rPr>
        <w:t>mois</w:t>
      </w:r>
      <w:r>
        <w:rPr>
          <w:rFonts w:asciiTheme="majorHAnsi" w:hAnsiTheme="majorHAnsi" w:cstheme="majorHAnsi"/>
          <w:szCs w:val="24"/>
        </w:rPr>
        <w:t xml:space="preserve"> </w:t>
      </w:r>
      <w:r w:rsidRPr="00FC048F">
        <w:rPr>
          <w:rFonts w:asciiTheme="majorHAnsi" w:hAnsiTheme="majorHAnsi" w:cstheme="majorHAnsi"/>
          <w:szCs w:val="24"/>
        </w:rPr>
        <w:t>/</w:t>
      </w:r>
      <w:r>
        <w:rPr>
          <w:rFonts w:asciiTheme="majorHAnsi" w:hAnsiTheme="majorHAnsi" w:cstheme="majorHAnsi"/>
          <w:szCs w:val="24"/>
        </w:rPr>
        <w:t xml:space="preserve"> tête de bétail</w:t>
      </w:r>
      <w:r w:rsidRPr="00FC048F">
        <w:rPr>
          <w:rFonts w:asciiTheme="majorHAnsi" w:hAnsiTheme="majorHAnsi" w:cstheme="majorHAnsi"/>
          <w:szCs w:val="24"/>
        </w:rPr>
        <w:t>)</w:t>
      </w:r>
      <w:r>
        <w:rPr>
          <w:rFonts w:asciiTheme="majorHAnsi" w:hAnsiTheme="majorHAnsi" w:cstheme="majorHAnsi"/>
          <w:szCs w:val="24"/>
        </w:rPr>
        <w:t>,</w:t>
      </w:r>
    </w:p>
    <w:p w14:paraId="0ED1E665" w14:textId="77777777" w:rsidR="00FC048F" w:rsidRDefault="00FC048F" w:rsidP="00FC048F">
      <w:pPr>
        <w:pStyle w:val="Prrafodelista"/>
        <w:numPr>
          <w:ilvl w:val="1"/>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 xml:space="preserve">soins vétérinaires, entretien des animaux, etc. </w:t>
      </w:r>
    </w:p>
    <w:p w14:paraId="7844FC74" w14:textId="52B866AA" w:rsidR="00FC048F" w:rsidRPr="00FC048F" w:rsidRDefault="00FC048F" w:rsidP="00FC048F">
      <w:pPr>
        <w:pStyle w:val="Prrafodelista"/>
        <w:numPr>
          <w:ilvl w:val="1"/>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 xml:space="preserve">Chaque bénéficiaire se voit octroyer </w:t>
      </w:r>
      <w:r>
        <w:rPr>
          <w:rFonts w:asciiTheme="majorHAnsi" w:hAnsiTheme="majorHAnsi" w:cstheme="majorHAnsi"/>
          <w:szCs w:val="24"/>
        </w:rPr>
        <w:t xml:space="preserve">XX têtes de bétail </w:t>
      </w:r>
      <w:r w:rsidRPr="00FC048F">
        <w:rPr>
          <w:rFonts w:asciiTheme="majorHAnsi" w:hAnsiTheme="majorHAnsi" w:cstheme="majorHAnsi"/>
          <w:i/>
          <w:szCs w:val="24"/>
        </w:rPr>
        <w:t>(p.ex. 2 chèvres et 1 bouc)</w:t>
      </w:r>
      <w:r w:rsidRPr="00FC048F">
        <w:rPr>
          <w:rFonts w:asciiTheme="majorHAnsi" w:hAnsiTheme="majorHAnsi" w:cstheme="majorHAnsi"/>
          <w:szCs w:val="24"/>
        </w:rPr>
        <w:t xml:space="preserve"> pour l’Organisation Paysanne ;</w:t>
      </w:r>
    </w:p>
    <w:p w14:paraId="0995ED86" w14:textId="0F565176" w:rsidR="00FC048F" w:rsidRPr="00FC048F" w:rsidRDefault="00FC048F" w:rsidP="00FC048F">
      <w:pPr>
        <w:pStyle w:val="Prrafodelista"/>
        <w:numPr>
          <w:ilvl w:val="0"/>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Formation des bénéficiaires en vie associative, gestion et conduite de l’élevage ;</w:t>
      </w:r>
    </w:p>
    <w:p w14:paraId="60A223DB" w14:textId="77777777" w:rsidR="00FC048F" w:rsidRDefault="00FC048F" w:rsidP="00FC048F">
      <w:pPr>
        <w:pStyle w:val="Prrafodelista"/>
        <w:numPr>
          <w:ilvl w:val="0"/>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 xml:space="preserve">Suivi de l’activité : </w:t>
      </w:r>
    </w:p>
    <w:p w14:paraId="006CF1B4" w14:textId="77777777" w:rsidR="00FC048F" w:rsidRDefault="00FC048F" w:rsidP="00FC048F">
      <w:pPr>
        <w:pStyle w:val="Prrafodelista"/>
        <w:numPr>
          <w:ilvl w:val="1"/>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 xml:space="preserve">Suivi communautaire (bureau de l’OP et commune), </w:t>
      </w:r>
    </w:p>
    <w:p w14:paraId="6F6A81C0" w14:textId="77777777" w:rsidR="00FC048F" w:rsidRDefault="00FC048F" w:rsidP="00FC048F">
      <w:pPr>
        <w:pStyle w:val="Prrafodelista"/>
        <w:numPr>
          <w:ilvl w:val="1"/>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 xml:space="preserve">suivi technique (techniciens agricoles et agents des services d’élevage), </w:t>
      </w:r>
    </w:p>
    <w:p w14:paraId="57C5D910" w14:textId="6E813F69" w:rsidR="00FC048F" w:rsidRPr="00FC048F" w:rsidRDefault="00FC048F" w:rsidP="00FC048F">
      <w:pPr>
        <w:pStyle w:val="Prrafodelista"/>
        <w:numPr>
          <w:ilvl w:val="1"/>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suivi sanitaire (service vétérinaire de l’état ou privé (mandataire), gérants des BIAZ formés) ;</w:t>
      </w:r>
    </w:p>
    <w:p w14:paraId="06CDC858" w14:textId="03ACA81B" w:rsidR="00FC048F" w:rsidRPr="00FC048F" w:rsidRDefault="00FC048F" w:rsidP="00FC048F">
      <w:pPr>
        <w:pStyle w:val="Prrafodelista"/>
        <w:numPr>
          <w:ilvl w:val="0"/>
          <w:numId w:val="2"/>
        </w:numPr>
        <w:spacing w:after="120" w:line="259" w:lineRule="auto"/>
        <w:ind w:right="6"/>
        <w:jc w:val="both"/>
        <w:rPr>
          <w:rFonts w:asciiTheme="majorHAnsi" w:hAnsiTheme="majorHAnsi" w:cstheme="majorHAnsi"/>
          <w:szCs w:val="24"/>
        </w:rPr>
      </w:pPr>
      <w:r w:rsidRPr="00FC048F">
        <w:rPr>
          <w:rFonts w:asciiTheme="majorHAnsi" w:hAnsiTheme="majorHAnsi" w:cstheme="majorHAnsi"/>
          <w:szCs w:val="24"/>
        </w:rPr>
        <w:t>Evaluation de l’activité : Effets, impacts, etc.</w:t>
      </w:r>
    </w:p>
    <w:sectPr w:rsidR="00FC048F" w:rsidRPr="00FC048F" w:rsidSect="00FC048F">
      <w:headerReference w:type="default" r:id="rId11"/>
      <w:footerReference w:type="default" r:id="rId12"/>
      <w:pgSz w:w="12240" w:h="15840"/>
      <w:pgMar w:top="2127" w:right="1041"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522F5" w14:textId="77777777" w:rsidR="00783619" w:rsidRDefault="00783619" w:rsidP="00B63FE0">
      <w:pPr>
        <w:spacing w:after="0" w:line="240" w:lineRule="auto"/>
      </w:pPr>
      <w:r>
        <w:separator/>
      </w:r>
    </w:p>
  </w:endnote>
  <w:endnote w:type="continuationSeparator" w:id="0">
    <w:p w14:paraId="26252ACA" w14:textId="77777777" w:rsidR="00783619" w:rsidRDefault="00783619" w:rsidP="00B6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AC659" w14:textId="7C9F1044" w:rsidR="00B63FE0" w:rsidRPr="00B63FE0" w:rsidRDefault="00B63FE0">
    <w:pPr>
      <w:pStyle w:val="Piedepgina"/>
      <w:rPr>
        <w:i/>
        <w:color w:val="C00000"/>
        <w:sz w:val="18"/>
        <w:szCs w:val="18"/>
      </w:rPr>
    </w:pPr>
    <w:r w:rsidRPr="00B63FE0">
      <w:rPr>
        <w:i/>
        <w:color w:val="C00000"/>
        <w:sz w:val="18"/>
        <w:szCs w:val="18"/>
      </w:rPr>
      <w:t xml:space="preserve">BO SAME de la CRN. </w:t>
    </w:r>
    <w:r w:rsidR="00FC048F">
      <w:rPr>
        <w:i/>
        <w:color w:val="C00000"/>
        <w:sz w:val="18"/>
        <w:szCs w:val="18"/>
      </w:rPr>
      <w:t>Fiche technique de l’</w:t>
    </w:r>
    <w:r w:rsidR="00FC048F" w:rsidRPr="00FC048F">
      <w:rPr>
        <w:i/>
        <w:color w:val="C00000"/>
        <w:sz w:val="18"/>
        <w:szCs w:val="18"/>
      </w:rPr>
      <w:t>Habbanayé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75F04" w14:textId="77777777" w:rsidR="00783619" w:rsidRDefault="00783619" w:rsidP="00B63FE0">
      <w:pPr>
        <w:spacing w:after="0" w:line="240" w:lineRule="auto"/>
      </w:pPr>
      <w:r>
        <w:separator/>
      </w:r>
    </w:p>
  </w:footnote>
  <w:footnote w:type="continuationSeparator" w:id="0">
    <w:p w14:paraId="3FC6EA38" w14:textId="77777777" w:rsidR="00783619" w:rsidRDefault="00783619" w:rsidP="00B63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38342" w14:textId="2FCDFC9F" w:rsidR="00B3219D" w:rsidRDefault="00B3219D" w:rsidP="00B3219D">
    <w:pPr>
      <w:pStyle w:val="Ttulo4"/>
      <w:spacing w:before="0" w:after="120" w:line="259" w:lineRule="auto"/>
      <w:ind w:right="6"/>
      <w:jc w:val="center"/>
      <w:rPr>
        <w:rFonts w:asciiTheme="majorHAnsi" w:hAnsiTheme="majorHAnsi" w:cstheme="majorHAnsi"/>
        <w:i/>
        <w:noProof/>
        <w:sz w:val="20"/>
      </w:rPr>
    </w:pPr>
    <w:r w:rsidRPr="00886527">
      <w:rPr>
        <w:rFonts w:asciiTheme="majorHAnsi" w:hAnsiTheme="majorHAnsi" w:cstheme="majorHAnsi"/>
        <w:b w:val="0"/>
        <w:noProof/>
      </w:rPr>
      <w:drawing>
        <wp:anchor distT="0" distB="0" distL="114300" distR="114300" simplePos="0" relativeHeight="251659264" behindDoc="0" locked="0" layoutInCell="1" allowOverlap="1" wp14:anchorId="76E5219D" wp14:editId="0B65F48C">
          <wp:simplePos x="0" y="0"/>
          <wp:positionH relativeFrom="column">
            <wp:posOffset>16510</wp:posOffset>
          </wp:positionH>
          <wp:positionV relativeFrom="paragraph">
            <wp:posOffset>-20955</wp:posOffset>
          </wp:positionV>
          <wp:extent cx="800100" cy="753598"/>
          <wp:effectExtent l="0" t="0" r="0" b="889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cstate="print"/>
                  <a:srcRect/>
                  <a:stretch>
                    <a:fillRect/>
                  </a:stretch>
                </pic:blipFill>
                <pic:spPr bwMode="auto">
                  <a:xfrm>
                    <a:off x="0" y="0"/>
                    <a:ext cx="800100" cy="7535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89A5EDE" w14:textId="40D46907" w:rsidR="00B3219D" w:rsidRPr="00886527" w:rsidRDefault="00B3219D" w:rsidP="00B3219D">
    <w:pPr>
      <w:pStyle w:val="Ttulo4"/>
      <w:spacing w:before="0" w:after="120" w:line="259" w:lineRule="auto"/>
      <w:ind w:right="6"/>
      <w:jc w:val="center"/>
      <w:rPr>
        <w:rFonts w:asciiTheme="majorHAnsi" w:hAnsiTheme="majorHAnsi" w:cstheme="majorHAnsi"/>
        <w:b w:val="0"/>
        <w:i/>
        <w:noProof/>
        <w:sz w:val="20"/>
      </w:rPr>
    </w:pPr>
    <w:bookmarkStart w:id="1" w:name="_Hlk96510603"/>
    <w:r w:rsidRPr="00886527">
      <w:rPr>
        <w:rFonts w:asciiTheme="majorHAnsi" w:hAnsiTheme="majorHAnsi" w:cstheme="majorHAnsi"/>
        <w:i/>
        <w:noProof/>
        <w:sz w:val="20"/>
      </w:rPr>
      <w:t>Humanité</w:t>
    </w:r>
    <w:r w:rsidRPr="00886527">
      <w:rPr>
        <w:rFonts w:asciiTheme="majorHAnsi" w:hAnsiTheme="majorHAnsi" w:cstheme="majorHAnsi"/>
        <w:i/>
        <w:noProof/>
        <w:color w:val="FF0000"/>
        <w:sz w:val="20"/>
      </w:rPr>
      <w:t>|</w:t>
    </w:r>
    <w:r w:rsidRPr="00886527">
      <w:rPr>
        <w:rFonts w:asciiTheme="majorHAnsi" w:hAnsiTheme="majorHAnsi" w:cstheme="majorHAnsi"/>
        <w:i/>
        <w:noProof/>
        <w:sz w:val="20"/>
      </w:rPr>
      <w:t>Impartialité</w:t>
    </w:r>
    <w:r w:rsidRPr="00886527">
      <w:rPr>
        <w:rFonts w:asciiTheme="majorHAnsi" w:hAnsiTheme="majorHAnsi" w:cstheme="majorHAnsi"/>
        <w:i/>
        <w:noProof/>
        <w:color w:val="FF0000"/>
        <w:sz w:val="20"/>
      </w:rPr>
      <w:t>|</w:t>
    </w:r>
    <w:r w:rsidRPr="00886527">
      <w:rPr>
        <w:rFonts w:asciiTheme="majorHAnsi" w:hAnsiTheme="majorHAnsi" w:cstheme="majorHAnsi"/>
        <w:i/>
        <w:noProof/>
        <w:sz w:val="20"/>
      </w:rPr>
      <w:t>Neutralité</w:t>
    </w:r>
    <w:r w:rsidRPr="00886527">
      <w:rPr>
        <w:rFonts w:asciiTheme="majorHAnsi" w:hAnsiTheme="majorHAnsi" w:cstheme="majorHAnsi"/>
        <w:i/>
        <w:noProof/>
        <w:color w:val="FF0000"/>
        <w:sz w:val="20"/>
      </w:rPr>
      <w:t>|</w:t>
    </w:r>
    <w:r w:rsidRPr="00886527">
      <w:rPr>
        <w:rFonts w:asciiTheme="majorHAnsi" w:hAnsiTheme="majorHAnsi" w:cstheme="majorHAnsi"/>
        <w:i/>
        <w:noProof/>
        <w:sz w:val="20"/>
      </w:rPr>
      <w:t>Indépendance</w:t>
    </w:r>
    <w:r w:rsidRPr="00886527">
      <w:rPr>
        <w:rFonts w:asciiTheme="majorHAnsi" w:hAnsiTheme="majorHAnsi" w:cstheme="majorHAnsi"/>
        <w:i/>
        <w:noProof/>
        <w:color w:val="FF0000"/>
        <w:sz w:val="20"/>
      </w:rPr>
      <w:t>|</w:t>
    </w:r>
    <w:r w:rsidRPr="00886527">
      <w:rPr>
        <w:rFonts w:asciiTheme="majorHAnsi" w:hAnsiTheme="majorHAnsi" w:cstheme="majorHAnsi"/>
        <w:i/>
        <w:noProof/>
        <w:sz w:val="20"/>
      </w:rPr>
      <w:t>Volontariat</w:t>
    </w:r>
    <w:r w:rsidRPr="00886527">
      <w:rPr>
        <w:rFonts w:asciiTheme="majorHAnsi" w:hAnsiTheme="majorHAnsi" w:cstheme="majorHAnsi"/>
        <w:i/>
        <w:noProof/>
        <w:color w:val="FF0000"/>
        <w:sz w:val="20"/>
      </w:rPr>
      <w:t>|</w:t>
    </w:r>
    <w:r w:rsidRPr="00886527">
      <w:rPr>
        <w:rFonts w:asciiTheme="majorHAnsi" w:hAnsiTheme="majorHAnsi" w:cstheme="majorHAnsi"/>
        <w:i/>
        <w:noProof/>
        <w:sz w:val="20"/>
      </w:rPr>
      <w:t>Unité</w:t>
    </w:r>
    <w:r w:rsidRPr="00886527">
      <w:rPr>
        <w:rFonts w:asciiTheme="majorHAnsi" w:hAnsiTheme="majorHAnsi" w:cstheme="majorHAnsi"/>
        <w:i/>
        <w:noProof/>
        <w:color w:val="FF0000"/>
        <w:sz w:val="20"/>
      </w:rPr>
      <w:t>|</w:t>
    </w:r>
    <w:r w:rsidRPr="00886527">
      <w:rPr>
        <w:rFonts w:asciiTheme="majorHAnsi" w:hAnsiTheme="majorHAnsi" w:cstheme="majorHAnsi"/>
        <w:i/>
        <w:noProof/>
        <w:sz w:val="20"/>
      </w:rPr>
      <w:t>Universalité</w:t>
    </w:r>
    <w:r w:rsidRPr="00886527">
      <w:rPr>
        <w:rFonts w:asciiTheme="majorHAnsi" w:hAnsiTheme="majorHAnsi" w:cstheme="majorHAnsi"/>
        <w:i/>
        <w:noProof/>
        <w:color w:val="FF0000"/>
        <w:sz w:val="20"/>
      </w:rPr>
      <w:t>|</w:t>
    </w:r>
  </w:p>
  <w:bookmarkEnd w:id="1"/>
  <w:p w14:paraId="32224D84" w14:textId="4C6B878F" w:rsidR="00B3219D" w:rsidRDefault="00B321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25B78"/>
    <w:multiLevelType w:val="hybridMultilevel"/>
    <w:tmpl w:val="4DA2AECA"/>
    <w:lvl w:ilvl="0" w:tplc="749C1C34">
      <w:numFmt w:val="bullet"/>
      <w:lvlText w:val="-"/>
      <w:lvlJc w:val="left"/>
      <w:pPr>
        <w:ind w:left="429" w:hanging="360"/>
      </w:pPr>
      <w:rPr>
        <w:rFonts w:ascii="Arial" w:eastAsiaTheme="minorHAnsi" w:hAnsi="Arial" w:cs="Arial"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1" w15:restartNumberingAfterBreak="0">
    <w:nsid w:val="33E34B51"/>
    <w:multiLevelType w:val="hybridMultilevel"/>
    <w:tmpl w:val="421C9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277"/>
    <w:rsid w:val="00085D93"/>
    <w:rsid w:val="00094232"/>
    <w:rsid w:val="000A4EAA"/>
    <w:rsid w:val="000A7FF3"/>
    <w:rsid w:val="001028DB"/>
    <w:rsid w:val="001A1597"/>
    <w:rsid w:val="001C4B9B"/>
    <w:rsid w:val="001F5271"/>
    <w:rsid w:val="00244847"/>
    <w:rsid w:val="00272BB8"/>
    <w:rsid w:val="002B1286"/>
    <w:rsid w:val="002C6439"/>
    <w:rsid w:val="002F440F"/>
    <w:rsid w:val="003315A5"/>
    <w:rsid w:val="00345A99"/>
    <w:rsid w:val="003A0821"/>
    <w:rsid w:val="00457217"/>
    <w:rsid w:val="00482EC9"/>
    <w:rsid w:val="00487313"/>
    <w:rsid w:val="0049267B"/>
    <w:rsid w:val="004C2277"/>
    <w:rsid w:val="004F4ECE"/>
    <w:rsid w:val="005008F1"/>
    <w:rsid w:val="0052596E"/>
    <w:rsid w:val="00530C93"/>
    <w:rsid w:val="00552AC1"/>
    <w:rsid w:val="00575398"/>
    <w:rsid w:val="005B5F79"/>
    <w:rsid w:val="005F6CD6"/>
    <w:rsid w:val="006530EA"/>
    <w:rsid w:val="006D5E77"/>
    <w:rsid w:val="006F258D"/>
    <w:rsid w:val="006F604B"/>
    <w:rsid w:val="00724629"/>
    <w:rsid w:val="007511B2"/>
    <w:rsid w:val="00783619"/>
    <w:rsid w:val="007B587F"/>
    <w:rsid w:val="007D1BB0"/>
    <w:rsid w:val="00806854"/>
    <w:rsid w:val="00886527"/>
    <w:rsid w:val="008A7294"/>
    <w:rsid w:val="00911268"/>
    <w:rsid w:val="009378B6"/>
    <w:rsid w:val="00972FF0"/>
    <w:rsid w:val="00993C3F"/>
    <w:rsid w:val="00A02C8D"/>
    <w:rsid w:val="00A1637B"/>
    <w:rsid w:val="00A2227B"/>
    <w:rsid w:val="00A351A4"/>
    <w:rsid w:val="00A4701B"/>
    <w:rsid w:val="00A577EC"/>
    <w:rsid w:val="00A83105"/>
    <w:rsid w:val="00AD15E2"/>
    <w:rsid w:val="00AD6B34"/>
    <w:rsid w:val="00AE2110"/>
    <w:rsid w:val="00B3219D"/>
    <w:rsid w:val="00B3786F"/>
    <w:rsid w:val="00B63FE0"/>
    <w:rsid w:val="00B674B3"/>
    <w:rsid w:val="00B754AC"/>
    <w:rsid w:val="00B978E0"/>
    <w:rsid w:val="00BE0DC3"/>
    <w:rsid w:val="00C3353A"/>
    <w:rsid w:val="00C803F5"/>
    <w:rsid w:val="00CA471E"/>
    <w:rsid w:val="00CB49AD"/>
    <w:rsid w:val="00CD5B2E"/>
    <w:rsid w:val="00DA2CF7"/>
    <w:rsid w:val="00DD1F40"/>
    <w:rsid w:val="00DD5C32"/>
    <w:rsid w:val="00DE0C91"/>
    <w:rsid w:val="00E04E6C"/>
    <w:rsid w:val="00E27D76"/>
    <w:rsid w:val="00E359C3"/>
    <w:rsid w:val="00E9789A"/>
    <w:rsid w:val="00EA0AB6"/>
    <w:rsid w:val="00EB3A7F"/>
    <w:rsid w:val="00F215C8"/>
    <w:rsid w:val="00F92F23"/>
    <w:rsid w:val="00FC04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DC47B"/>
  <w15:docId w15:val="{2F988B9D-6DA7-463C-A171-9FFE008E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277"/>
    <w:pPr>
      <w:spacing w:after="200" w:line="276" w:lineRule="auto"/>
    </w:pPr>
    <w:rPr>
      <w:lang w:val="fr-FR"/>
    </w:rPr>
  </w:style>
  <w:style w:type="paragraph" w:styleId="Ttulo4">
    <w:name w:val="heading 4"/>
    <w:basedOn w:val="Normal"/>
    <w:next w:val="Normal"/>
    <w:link w:val="Ttulo4Car"/>
    <w:qFormat/>
    <w:rsid w:val="00724629"/>
    <w:pPr>
      <w:keepNext/>
      <w:widowControl w:val="0"/>
      <w:suppressAutoHyphens/>
      <w:spacing w:before="240" w:after="60" w:line="240" w:lineRule="auto"/>
      <w:outlineLvl w:val="3"/>
    </w:pPr>
    <w:rPr>
      <w:rFonts w:ascii="Times New Roman" w:eastAsia="Times New Roman" w:hAnsi="Times New Roman" w:cs="Times New Roman"/>
      <w:b/>
      <w:bCs/>
      <w:sz w:val="28"/>
      <w:szCs w:val="28"/>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2277"/>
    <w:pPr>
      <w:ind w:left="720"/>
      <w:contextualSpacing/>
    </w:pPr>
  </w:style>
  <w:style w:type="paragraph" w:styleId="Textodeglobo">
    <w:name w:val="Balloon Text"/>
    <w:basedOn w:val="Normal"/>
    <w:link w:val="TextodegloboCar"/>
    <w:uiPriority w:val="99"/>
    <w:semiHidden/>
    <w:unhideWhenUsed/>
    <w:rsid w:val="001C4B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4B9B"/>
    <w:rPr>
      <w:rFonts w:ascii="Segoe UI" w:hAnsi="Segoe UI" w:cs="Segoe UI"/>
      <w:sz w:val="18"/>
      <w:szCs w:val="18"/>
      <w:lang w:val="fr-FR"/>
    </w:rPr>
  </w:style>
  <w:style w:type="character" w:customStyle="1" w:styleId="Ttulo4Car">
    <w:name w:val="Título 4 Car"/>
    <w:basedOn w:val="Fuentedeprrafopredeter"/>
    <w:link w:val="Ttulo4"/>
    <w:rsid w:val="00724629"/>
    <w:rPr>
      <w:rFonts w:ascii="Times New Roman" w:eastAsia="Times New Roman" w:hAnsi="Times New Roman" w:cs="Times New Roman"/>
      <w:b/>
      <w:bCs/>
      <w:sz w:val="28"/>
      <w:szCs w:val="28"/>
      <w:lang w:val="fr-FR" w:eastAsia="fr-FR"/>
    </w:rPr>
  </w:style>
  <w:style w:type="table" w:styleId="Tablaconcuadrcula">
    <w:name w:val="Table Grid"/>
    <w:basedOn w:val="Tablanormal"/>
    <w:uiPriority w:val="59"/>
    <w:rsid w:val="0088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63F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3FE0"/>
    <w:rPr>
      <w:lang w:val="fr-FR"/>
    </w:rPr>
  </w:style>
  <w:style w:type="paragraph" w:styleId="Piedepgina">
    <w:name w:val="footer"/>
    <w:basedOn w:val="Normal"/>
    <w:link w:val="PiedepginaCar"/>
    <w:uiPriority w:val="99"/>
    <w:unhideWhenUsed/>
    <w:rsid w:val="00B63F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3FE0"/>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7CA8758C6C1A43BC202FAFBBB811BE" ma:contentTypeVersion="12" ma:contentTypeDescription="Crear nuevo documento." ma:contentTypeScope="" ma:versionID="d0304b93583ba0196e61da9fdddff859">
  <xsd:schema xmlns:xsd="http://www.w3.org/2001/XMLSchema" xmlns:xs="http://www.w3.org/2001/XMLSchema" xmlns:p="http://schemas.microsoft.com/office/2006/metadata/properties" xmlns:ns2="dd810140-bf67-4432-bdfe-10318725fc4b" xmlns:ns3="c86f6395-7f4b-4d93-b493-5cee9a0689b6" targetNamespace="http://schemas.microsoft.com/office/2006/metadata/properties" ma:root="true" ma:fieldsID="e25524a57919015db8aeb282c727b4b2" ns2:_="" ns3:_="">
    <xsd:import namespace="dd810140-bf67-4432-bdfe-10318725fc4b"/>
    <xsd:import namespace="c86f6395-7f4b-4d93-b493-5cee9a068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10140-bf67-4432-bdfe-10318725f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9AE04-316C-4CE9-ADFE-107F5D59C5A1}"/>
</file>

<file path=customXml/itemProps2.xml><?xml version="1.0" encoding="utf-8"?>
<ds:datastoreItem xmlns:ds="http://schemas.openxmlformats.org/officeDocument/2006/customXml" ds:itemID="{C6541D3D-FC5B-436D-A1A0-E11E8CCB675E}">
  <ds:schemaRefs>
    <ds:schemaRef ds:uri="http://schemas.microsoft.com/sharepoint/v3/contenttype/forms"/>
  </ds:schemaRefs>
</ds:datastoreItem>
</file>

<file path=customXml/itemProps3.xml><?xml version="1.0" encoding="utf-8"?>
<ds:datastoreItem xmlns:ds="http://schemas.openxmlformats.org/officeDocument/2006/customXml" ds:itemID="{54D6637E-E641-400B-AB67-A0B3D2D223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397</Words>
  <Characters>2267</Characters>
  <Application>Microsoft Office Word</Application>
  <DocSecurity>0</DocSecurity>
  <Lines>18</Lines>
  <Paragraphs>5</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by adguard</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Salha_Yahaya</dc:creator>
  <cp:keywords/>
  <dc:description/>
  <cp:lastModifiedBy>Gema Arranz</cp:lastModifiedBy>
  <cp:revision>4</cp:revision>
  <cp:lastPrinted>2020-12-09T09:26:00Z</cp:lastPrinted>
  <dcterms:created xsi:type="dcterms:W3CDTF">2022-02-23T18:47:00Z</dcterms:created>
  <dcterms:modified xsi:type="dcterms:W3CDTF">2022-02-25T09:08:00Z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0x010100607CA8758C6C1A43BC202FAFBBB811BE</vt:lpwstr>
  </property>
</Properties>
</file>